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DAAJ/73/2021 vom 21. Oktober 2020</w:t>
      </w:r>
    </w:p>
    <w:p>
      <w:r>
        <w:t>GE Cour de justice, 2020-10-21, FR</w:t>
      </w:r>
    </w:p>
    <w:p>
      <w:r>
        <w:rPr>
          <w:b/>
        </w:rPr>
        <w:t xml:space="preserve">Quelle: </w:t>
      </w:r>
      <w:r>
        <w:t>https://mcp.opencaselaw.ch/entscheid/ge_gerichte_DAAJ_73_2021</w:t>
      </w:r>
    </w:p>
    <w:p>
      <w:r>
        <w:t>FR: GE_GERICHTE DAAJ/73/2021 du 21 octobre 2020</w:t>
      </w:r>
    </w:p>
    <w:p>
      <w:r>
        <w:t>IT: GE_GERICHTE DAAJ/73/2021 del 21 ottobre 2020</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64 al. 3 LOJ,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la recourante n'a pas fait état en première instance et les pièces nouvelles ne seront pas pris en considération.</w:t>
      </w:r>
    </w:p>
    <w:p>
      <w:r>
        <w:rPr>
          <w:b/>
        </w:rPr>
        <w:t>E. 3.1</w:t>
      </w:r>
    </w:p>
    <w:p>
      <w:r>
        <w:t>Toute personne qui ne dispose pas de ressources suffisantes a droit à l'assistance judiciaire à moins que sa cause paraisse dépourvue de toute chance de succès (art. 117 CPC; art. 29 al. 3 Cst.). L'art. 63 loi d'organisation judiciaire (LOJ RSG E 2 05) qui traite de l'assistance juridique extrajudiciaire, prévoit que toute personne physique, domiciliée dans le canton de Genève et susceptible d'intervenir comme partie dans une procédure, dont la fortune ou les revenus ne sont pas suffisants pour lui assurer l'aide ou les conseils d'un avocat,</w:t>
      </w:r>
    </w:p>
    <w:p>
      <w:r>
        <w:t>- 4/7 -</w:t>
      </w:r>
    </w:p>
    <w:p>
      <w:r>
        <w:t>AC/3013/2020 d'un avocat stagiaire, ou d'un médiateur assermenté en dehors d'une procédure administrative ou judiciaire, peut requérir l'assistance juridique (al. 1). L'assistance juridique est octroyée si celle-ci est nécessaire et que le demandeur poursuit un intérêt digne de protection (al. 2).</w:t>
      </w:r>
    </w:p>
    <w:p>
      <w:r>
        <w:rPr>
          <w:b/>
        </w:rPr>
        <w:t>E. 3.2.1</w:t>
      </w:r>
    </w:p>
    <w:p>
      <w:r>
        <w:t>Il faut en outre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Ainsi, pour qu'un avocat rémunéré par l'État soit désigné, les intérêts du requérant doivent être menacés ou touchés d'une manière grave et le cas doit présenter - en fait et en droit - des difficultés qui rendent nécessaire le recours à l'assistance d'un avocat; l'assistance d'un avocat peut s'avérer indispensable en raison de la complexité de l'affaire ou des questions à résoudre, des connaissances juridiques insuffisantes du requérant ou encore de l'importance des intérêts en jeu (ATF 128 I 225, 232; 122 III 392 consid. 3b; CORBOZ, Le droit constitutionnel à l'assistance judiciaire, SJ 2003 II 67, p. 79; AUER/MALINVERNI/HOTTELIER, Droit constitutionnel suisse, Berne 2013, vol. II, n. 1616 p. 714).</w:t>
      </w:r>
    </w:p>
    <w:p>
      <w:r>
        <w:t>- 5/7 -</w:t>
      </w:r>
    </w:p>
    <w:p>
      <w:r>
        <w:t>AC/3013/2020 L'assistance juridique ne s'étend pas aux activités relevant de l'assistance sociale ou dont d'autres organismes subventionnés directement ou indirectement peuvent se charger à moindre frais (art. 3 al. 3 RAJ). La situation doit être appréciée à la date du dépôt de la requête et sur la base d'un examen sommaire (ATF 142 III 138 consid. 5.1; 133 III 614 consid. 5).</w:t>
      </w:r>
    </w:p>
    <w:p>
      <w:r>
        <w:rPr>
          <w:b/>
        </w:rPr>
        <w:t>E. 3.2.2</w:t>
      </w:r>
    </w:p>
    <w:p>
      <w:r>
        <w:t>Dans le cadre des observations précédent un projet de décision de l'OCPM, le requérant ne peut prétendre à l'assistance d'un avocat rémunéré par l'État que pour autant que lesdites démarches présentent des difficultés de fait ou de droit qu'il ne peut surmonter seul (DAAJ/54/2021 du 27 avril 2021 consid. 3.2; DAAJ/67/2018 du 7 août 2018 consid. 3.3).</w:t>
      </w:r>
    </w:p>
    <w:p>
      <w:r>
        <w:rPr>
          <w:b/>
        </w:rPr>
        <w:t>E. 3.3</w:t>
      </w:r>
    </w:p>
    <w:p>
      <w:r>
        <w:t>Le 1er janvier 2019, est entrée en vigueur une modification de la loi fédérale sur les étrangers du 16 décembre 2005 (LEtr), devenue la loi fédérale sur les étrangers et l'intégration du 16 décembre 2005 (LEI - RS 142.20). Conformément à la jurisprudence du Tribunal fédéral (arrêts du Tribunal fédéral 2C_841/2019 du 11 octobre 2019 consid. 3; 2C_737/2019 du 27 septembre 2019 consid. 4.1), les demandes déposées avant le 1er janvier 2019 sont régies par l'ancien droit, étant précisé que la plupart des dispositions de la LEI sont demeurées identiques. La LEI et ses ordonnances d'exécution, en particulier l'ordonnance relative à l'admission, au séjour et à l'exercice d'une activité lucrative du 24 octobre 2007 (OASA - RS 142.201), règlent l'entrée, le séjour et la sortie des personnes étrangères dont le statut juridique n'est pas réglé par d'autres dispositions du droit fédéral ou par des traités internationaux conclus par la Suisse (art. 1 et 2 LEI), notamment par l'ALCP, ce qui est notamment le cas pour les ressortissantes et ressortissants du Kosovo.</w:t>
      </w:r>
    </w:p>
    <w:p>
      <w:r>
        <w:rPr>
          <w:b/>
        </w:rPr>
        <w:t>E. 3.4</w:t>
      </w:r>
    </w:p>
    <w:p>
      <w:r>
        <w:t>Selon l'art. 42 al. 2 LEI, les membres de la famille d'un ressortissant suisse titulaires d'une autorisation de séjour durable délivrée par un État avec lequel la Suisse a conclu un accord sur la libre circulation des personnes ont droit à l'octroi d'une autorisation de séjour et à la prolongation de sa validité. Sont considérés comme membres de sa famille, le conjoint et ses descendants de moins de 21 ans ou dont l'entretien est garanti (let. a), ainsi que les ascendants du ressortissant suisse ou de son conjoint dont l'entretien est garanti (let. b).</w:t>
      </w:r>
    </w:p>
    <w:p>
      <w:r>
        <w:rPr>
          <w:b/>
        </w:rPr>
        <w:t>E. 3.4.1</w:t>
      </w:r>
    </w:p>
    <w:p>
      <w:r>
        <w:t>L'art. 30 al. 1 let. b LEI permet de déroger aux conditions d'admission en Suisse, telles que prévues aux art. 18 à 29 LEI, notamment aux fins de tenir compte des cas individuels d'une extrême gravité ou d'intérêts publics majeurs.</w:t>
      </w:r>
    </w:p>
    <w:p>
      <w:r>
        <w:rPr>
          <w:b/>
        </w:rPr>
        <w:t>E. 3.4.2</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w:t>
      </w:r>
    </w:p>
    <w:p>
      <w:r>
        <w:t>- 6/7 -</w:t>
      </w:r>
    </w:p>
    <w:p>
      <w:r>
        <w:t>AC/3013/2020 (let. e), de l'état de santé (let. f),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Secrétariat d'État aux migrations, domaine des étrangers, 2013, état au 1er janvier 2021, ch. 5.6.10)</w:t>
      </w:r>
    </w:p>
    <w:p>
      <w:r>
        <w:rPr>
          <w:b/>
        </w:rPr>
        <w:t>E. 3.5</w:t>
      </w:r>
    </w:p>
    <w:p>
      <w:r>
        <w:t>Selon l'art. 41 LPA, les parties ont le droit d'être entendues par l'autorité compétente avant que ne soit prise une décision. Elles ne peuvent prétendre à une audition verbale sauf dispositions légales contraires.</w:t>
      </w:r>
    </w:p>
    <w:p>
      <w:r>
        <w:rPr>
          <w:b/>
        </w:rPr>
        <w:t>E. 3.6</w:t>
      </w:r>
    </w:p>
    <w:p>
      <w:r>
        <w:t>En l'espèce et quand bien même la rédaction d'observations à propos d'un projet de décision de l'OCPM se situe à un stade de procédure dite non contentieuse sans exigence formelle, il apparaît, prima facie, des difficultés particulières notamment en droit, que la recourante n'apparaît pas à même de résoudre seule sans l'aide d'un avocat. Il apparait que l'OCPM entend rendre une décision de refus en application des dispositions relatives au cas de rigueur, alors que la recourante semble se prévaloir de celles applicables au regroupement familial. Ainsi, un développement juridique paraît, déjà au stade du projet de décision de l'OCPM, essentiel. Il ne ressort pas du dossier que la recourante - ou son fils chez qui elle vit - dispose de connaissances juridiques nécessaires pour se déterminer sur les différents éléments retenus dans le projet de décision. Enfin, les intérêts en jeu sont importants pour la recourante laquelle devra, en cas de confirmation de la décision envisagée par l'OCPM, quitter la Suisse. Au vu du caractère technique et juridique de la question, l'assistance d'un avocat apparaît nécessaire pour permettre à la recourante de défendre utilement son point de vue par- devant l'OCPM. La décision entreprise sera donc annulée et la cause sera renvoyée à l'autorité de première instance pour instruction et nouvelle décision, après examen des chances de succès et de la condition d'indigence.</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consid. 3; DAAJ/34/2013 du 30 avril 2013 consid. 3). * * * * *</w:t>
      </w:r>
    </w:p>
    <w:p>
      <w:r>
        <w:t>- 7/7 -</w:t>
      </w:r>
    </w:p>
    <w:p>
      <w:r>
        <w:t>AC/3013/2020 PAR CES MOTIFS, LE VICE-PRÉSIDENT DE LA COUR : A la forme : Déclare recevable le recours formé par A______ contre la décision rendue le 21 octobre 2020 par la Vice-présidente du Tribunal de première instance dans la cause AC/3013/2020. Au fond : Annule la décision entreprise et cela fait : Renvoie la cause à la Vice-présidente du Tribunal de première instance pour instruction complémentaire et nouvelle décision. Déboute A______ de toutes autres conclusions. Dit qu'il n'est pas perçu de frais judiciaires pour le recours, ni alloué de dépens. Notifie une copie de la présente décision à A______ en l'Etude de Me Rachel DUC (art. 137 CPC). Siégeant : Monsieur Patrick CHENAUX, Vice-président;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