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DAAJ/73/2019 vom 19. März 2019</w:t>
      </w:r>
    </w:p>
    <w:p>
      <w:r>
        <w:t>GE Cour de justice, 2019-03-19, FR</w:t>
      </w:r>
    </w:p>
    <w:p>
      <w:r>
        <w:rPr>
          <w:b/>
        </w:rPr>
        <w:t xml:space="preserve">Quelle: </w:t>
      </w:r>
      <w:r>
        <w:t>https://mcp.opencaselaw.ch/entscheid/ge_gerichte_DAAJ_73_2019</w:t>
      </w:r>
    </w:p>
    <w:p>
      <w:r>
        <w:t>FR: GE_GERICHTE DAAJ/73/2019 du 19 mars 2019</w:t>
      </w:r>
    </w:p>
    <w:p>
      <w:r>
        <w:t>IT: GE_GERICHTE DAAJ/73/2019 del 19 marzo 2019</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t>- 4/11 -</w:t>
      </w:r>
    </w:p>
    <w:p>
      <w:r>
        <w:t>AC/926/2019</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 dont le recourant n'a pas fait état en première instance, tels que notamment les procédures qu'il mène contre d'anciens employeurs et sa grave allergie au sucre et au lactose, ainsi que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w:t>
      </w:r>
    </w:p>
    <w:p>
      <w:r>
        <w:t>- 5/11 -</w:t>
      </w:r>
    </w:p>
    <w:p>
      <w:r>
        <w:t>AC/926/2019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3.2.1. Le 1er janvier 2019, est entrée en vigueur une modification de LEtr devenue la LEI, et de l’OASA. En l’absence de dispositions transitoires, la règle générale selon laquelle s’appliquent aux faits dont les conséquences juridiques sont en cause, les normes en vigueur au moment où lesdits faits se sont produits, sous réserve, en matière de sanctions disciplinaires ou d’amendes administratives, que le nouveau droit soit plus favorable (ATA/895/2019 du 14 mai 2019 consid. 4a et les arrêts cités), prévaut.</w:t>
      </w:r>
    </w:p>
    <w:p>
      <w:r>
        <w:rPr>
          <w:b/>
        </w:rPr>
        <w:t>E. 3.2.2</w:t>
      </w:r>
    </w:p>
    <w:p>
      <w:r>
        <w:t>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(ATF 139 II 263 consid. 6; 139 II 243 consid. 11.1; arrêt du Tribunal administratif fédéral F-1737/2017 du 22 janvier 2019 consid. 3.4; Thierry TANQUEREL, Manuel de droit administratif, 2ème éd., 2018, p. 140 n. 410; Pierre MOOR/Alexandre FLÜCKIGER/ Vincent MARTENET, Droit administratif, vol. 1, 3ème éd., 2012, p. 187). Il faut néanmoins réserver l'application du principe de la bonne foi, lorsque l'autorité retarde volontairement l'instruction d'un dossier ou lorsque cette instruction, sans la faute de l'administré, prend plus de temps qu'il ne serait raisonnablement nécessaire. Dans ce cas, si l'ancien droit, en vigueur au moment du dépôt de la demande, est plus favorable à l'administré, il devra être appliqué (ATF 139 II 263 consid. 7; 110 Ib 332 consid. 3), à moins que l'ordre public ou un motif d'intérêt public très important n'impose l'application de la nouvelle règle (ATF 119 Ib 174 consid. 3; Thierry TANQUEREL, op. cit., p. 141, n. 411).</w:t>
      </w:r>
    </w:p>
    <w:p>
      <w:r>
        <w:rPr>
          <w:b/>
        </w:rPr>
        <w:t>E. 3.2.3</w:t>
      </w:r>
    </w:p>
    <w:p>
      <w:r>
        <w:t>En l'occurrence, la décision de l'OCPM du 8 mars 2019 a été prise après l'entrée en vigueur des modifications de la LEI et de l'OASA et rien au dossier ne permet de retenir que l'OCPM aurait retardé volontairement l'instruction du dossier du recourant. Dès lors et conformément à la doctrine précitée, il y a lieu d'appliquer la LEI et la OASA dans leur teneur en vigueur depuis le 1er janvier 2019.</w:t>
      </w:r>
    </w:p>
    <w:p>
      <w:r>
        <w:rPr>
          <w:b/>
        </w:rPr>
        <w:t>E. 3.3</w:t>
      </w:r>
    </w:p>
    <w:p>
      <w:r>
        <w:t>3.3.1.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Sénégal (ATA/995/2018 du 25 septembre 2018 consid. 5).</w:t>
      </w:r>
    </w:p>
    <w:p>
      <w:r>
        <w:t>- 6/11 -</w:t>
      </w:r>
    </w:p>
    <w:p>
      <w:r>
        <w:t>AC/926/2019</w:t>
      </w:r>
    </w:p>
    <w:p>
      <w:r>
        <w:rPr>
          <w:b/>
        </w:rPr>
        <w:t>E. 3.3.2</w:t>
      </w:r>
    </w:p>
    <w:p>
      <w:r>
        <w:t>L’art. 30 al. 1 let. b LEI permet de déroger aux conditions d’admission en Suisse, telles que prévues aux art. 18 à 29 LEI, notamment aux fins de tenir compte des cas individuels d’une extrême gravité ou d’intérêts publics majeurs.</w:t>
      </w:r>
    </w:p>
    <w:p>
      <w:r>
        <w:rPr>
          <w:b/>
        </w:rPr>
        <w:t>E. 3.3.3</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domaine des étrangers, 2013, état au 1er janvier 2019, n. 5.6.10 [ci-après : directives SEM]).</w:t>
      </w:r>
    </w:p>
    <w:p>
      <w:r>
        <w:rPr>
          <w:b/>
        </w:rPr>
        <w:t>E. 3.3.4</w:t>
      </w:r>
    </w:p>
    <w:p>
      <w:r>
        <w:t>Les dispositions dérogatoires des art. 30 LEI et 31 OASA présentent un caractère exceptionnel et les conditions pour la reconnaissance d’une telle situation doivent être appréciées de manière restrictive (ATF 128 II 200 consid. 4; ATA/353/2019 du 2 avril 2019 consid. 5c; ATA/38/2019 du 15 janvier 2019 consid. 4c).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ATA/38/2019 précité consid. 4c; Directives SEM, op. cit., ch. 5.6).</w:t>
      </w:r>
    </w:p>
    <w:p>
      <w:r>
        <w:rPr>
          <w:b/>
        </w:rPr>
        <w:t>E. 3.3.5</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A cet égard, les relations de travail, d’amitié ou de voisinage que l’intéressé a pu nouer pendant son séjour ne constituent normalement pas des liens si étroits avec la Suisse qu’ils justifieraient une exception (ATF 130 II 39 consid. 3; 124 II 110 consid. 3; arrêts du Tribunal fédéral 2C_754/2018 du 28 janvier 2019 consid. 7.2; 2A_718/2006 du 21 mars 2007 consid. 3; ATA/181/2019 du 26 février 2019 consid. 13d).</w:t>
      </w:r>
    </w:p>
    <w:p>
      <w:r>
        <w:t>- 7/11 -</w:t>
      </w:r>
    </w:p>
    <w:p>
      <w:r>
        <w:t>AC/926/2019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2A_543/2001 du 25 avril 2002 consid. 5.2; arrêts du Tribunal administratif fédéral [ci- après : TAF] C-5414/2013 du 30 juin 2015 consid. 5.1.4; C-6379/2012 et C-6377/2012 du 17 novembre 2014 consid. 4.3; C-1240/2012 du 24 juillet 2014 consid. 5.3; ATA/895/2019 précité consid. 6d; ATA/353/2019 précité consid. 5d; ATA/38/2019 précité consid. 4d).</w:t>
      </w:r>
    </w:p>
    <w:p>
      <w:r>
        <w:rPr>
          <w:b/>
        </w:rPr>
        <w:t>E. 3.3.6</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arrêts du Tribunal fédéral 2A_245/2004 du 13 juillet 2004 consid. 4.2.1; 2A_255/1994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ATA/828/2016 du 4 octobre 2016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(ATA/353/2019 précité consid. 5d; arrêts du Tribunal fédéral 2C_621/2015 du 11 décembre 2015 consid. 5.2.1; 2C_369/2010 du 4 novembre 2010 consid. 4.1).</w:t>
      </w:r>
    </w:p>
    <w:p>
      <w:r>
        <w:rPr>
          <w:b/>
        </w:rPr>
        <w:t>E. 3.3.7</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w:t>
      </w:r>
    </w:p>
    <w:p>
      <w:r>
        <w:t>- 8/11 -</w:t>
      </w:r>
    </w:p>
    <w:p>
      <w:r>
        <w:t>AC/926/2019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ATA/895/2019 précité consid. 6f;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C-3216/2010 du 29 janvier 2014 consid. 3.6; C-5710/2011 du 13 décembre 2013 consid. 5.1; C-3513/2007 du</w:t>
      </w:r>
    </w:p>
    <w:p>
      <w:r>
        <w:rPr>
          <w:b/>
        </w:rPr>
        <w:t>E. 3.3.8</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 A teneur de l'art. 83 LEI, le renvoi d'un étranger ne peut être ordonné que si l'exécution de celui-ci est possible, licite ou peut être raisonnablement exigée (al. 1 LEI). L'exécution du renvoi n'est pas possible lorsque l'intéressé ne peut quitter la Suisse pour son État d'origine, son État de provenance ou un État tiers ni être renvoyé dans un de ces États (al. 2 LEI). Elle n'est pas licite lorsque le renvoi serait contraire aux engagements internationaux de la Suisse (al. 3 LEI). Elle n'est pas raisonnablement exigible si elle met concrètement en danger l'étranger, par exemple en cas de guerre, de guerre civile, de violence généralisée ou de nécessité médicale (al. 4 LEI).</w:t>
      </w:r>
    </w:p>
    <w:p>
      <w:r>
        <w:rPr>
          <w:b/>
        </w:rPr>
        <w:t>E. 3.3.9</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w:t>
      </w:r>
    </w:p>
    <w:p>
      <w:r>
        <w:t>- 9/11 -</w:t>
      </w:r>
    </w:p>
    <w:p>
      <w:r>
        <w:t>AC/926/2019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rPr>
          <w:b/>
        </w:rPr>
        <w:t>E. 3.4</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w:t>
      </w:r>
    </w:p>
    <w:p>
      <w:r>
        <w:rPr>
          <w:b/>
        </w:rPr>
        <w:t>E. 3.5</w:t>
      </w:r>
    </w:p>
    <w:p>
      <w:r>
        <w:t>En l'espèce, le recourant est âgé de 45 ans et a vécu au Sénégal avant son arrivée en Suisse en juin 2015, au bénéfice d’un visa Schengen valable pour trois jours délivré par la France. S'il est effectivement en Suisse depuis presque quatre ans, la durée de son séjour doit être relativisée, notamment au regard des longues années passées dans son pays d'origine et en raison du fait qu'il semble avoir vécu dans la clandestinité jusqu'au dépôt le 14 mars 2018 d'une demande d'autorisation de séjour. Il est vrai que le recourant semble être indépendant financièrement et ne pas avoir fait l'objet de condamnations pénales. Toutefois, l'absence d'infractions pénales et de dépendance à l'assistance publique en Suisse sont des aspects qui sont en principe attendus de tout étranger désireux de s'établir durablement en Suisse et ne constituent donc pas un élément extraordinaire en sa faveur. Ainsi, si ces éléments sont effectivement favorables au recourant, ils relèvent du comportement que l’on est en droit d’attendre de toute personne séjournant dans le pays (arrêts du Tribunal fédéral 2C_779/2016 du 13 septembre 2016 consid. 4.2; 2C_789/2014 du 20 février 2015 consid. 2.2.2). Le recourant anime certes des ateliers de peinture ______, ce qui lui permet de prendre part à la vie économique, toutefois, son activité ne paraît pas répondre aux exigences strictes de la jurisprudence en matière d’intégration professionnelle telle que précisée ci-dessus. D'ailleurs et selon ses allégations, il exerçait déjà cette activité dans son pays d'origine avant son départ. Quant à la problématique du secteur touristique au Sénégal, il semble qu'il connaisse une certaine reprise d'activité selon divers articles de presse relativement récents (notamment https://www.tourhebdo.com/actualites/destination/pou rquoi-le-senegal-revient-sur-le-devant-de-la-scene-508121.php, ou encore https://sen egalinfos.com/le-marche-du-tourisme-connait-une-petite-reprise-a-consolider-acteur/, consultés le 21 mai 2019).</w:t>
      </w:r>
    </w:p>
    <w:p>
      <w:r>
        <w:t>- 10/11 -</w:t>
      </w:r>
    </w:p>
    <w:p>
      <w:r>
        <w:t>AC/926/2019 Il n'apparaît pas que l'intéressé ait des attaches particulières en Suisse, telles que de la famille. Au contraire et selon le recourant, sa famille se trouve au Sénégal. Le certificat médical du 5 mars 2018 n'indique pas que son état de santé nécessiterait une prise en charge particulièrement lourde, ne pouvant être poursuivie qu'en Suisse, que ce soit en termes de traitements médicamenteux ou en termes de suivi psychiatrique. Par ailleurs, le Sénégal dispose d'établissements hospitaliers susceptibles de permettre la poursuite du suivi psychiatrique dont il bénéficie (par exemple le Centre Hospitalier Universitaire de Fann à Dakar, cité dans les arrêts du TAF E-2305/2018 du</w:t>
      </w:r>
    </w:p>
    <w:p>
      <w:r>
        <w:rPr>
          <w:b/>
        </w:rPr>
        <w:t>E. 6</w:t>
      </w:r>
    </w:p>
    <w:p>
      <w:r>
        <w:t>avril 2010 consid. 8.3, C-7450/2006 du 5 mars 2010 consid. 5.5.3 et C-8650/2007 du 5 mars 2010 consid. 8.3.4.3). Le cas échéant, ces critères ne peuvent en effet être pris en considération que dans le cadre de l'examen de la licéité et de l'exigibilité de l'exécution du renvoi (arrêts du TAF F.4125/2016 du 26 juillet 2017 consid. 5.4.1; C-2712/2012 précité consid. 5.7; C-3216/2010 précité consid. 3.6; C-5710/2011 précité consid. 5.1; ATA/895/2019 précité consid. 6f et l'arrêt cité).</w:t>
      </w:r>
    </w:p>
    <w:p>
      <w:r>
        <w:rPr>
          <w:b/>
        </w:rPr>
        <w:t>E. 9</w:t>
      </w:r>
    </w:p>
    <w:p>
      <w:r>
        <w:t>mai 2018 et E-3165/2015 du 11 mai 2016 consid. 6.3.5). Il apparaît dès lors que le recourant pourra être suivi, d'une part, jusqu'à l'exécution de son renvoi et, d'autre part, en cas de besoin, dans son pays d'origine. Enfin et s'agissant de l’exécution du renvoi, la prise en charge médicale du recourant dans son pays d’origine semble être possible, comme vu supra. Dès lors, il n'apparaît a priori pas que l'exécution du retour du recourant dans son pays d’origine serait illicite, ne serait pas possible, ou ne pourrait raisonnablement pas être exigée. Compte tenu de ce qui précède, c'est de manière conforme au droit que l'autorité de première instance a refusé d'octroyer le bénéfice de l'assistance juridique au recourant, au motif que les chances de succès d'un recours contre la décision de l'OCPM du 8 mars 2019 semblaient faibles, voire inexistantes. Partant, le recours, infondé, sera rejeté. 4. Sauf exceptions non réalisées en l'espèce, il n'est pas perçu de frais judiciaires pour la procédure d'assistance juridique (art. 119 al. 6 CPC). * * * * *</w:t>
      </w:r>
    </w:p>
    <w:p>
      <w:r>
        <w:t>- 11/11 -</w:t>
      </w:r>
    </w:p>
    <w:p>
      <w:r>
        <w:t>AC/926/2019 PAR CES MOTIFS, LE VICE-PRÉSIDENT DE LA COUR : A la forme : Déclare recevable le recours formé le 4 avril 2019 par A______ contre la décision rendue le 19 mars 2019 par le Vice-président du Tribunal civil dans la cause AC/926/2019.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