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DAAJ/73/2013 vom 27. Juni 2013</w:t>
      </w:r>
    </w:p>
    <w:p>
      <w:r>
        <w:t>GE Cour de justice, 2013-06-27, FR</w:t>
      </w:r>
    </w:p>
    <w:p>
      <w:r>
        <w:rPr>
          <w:b/>
        </w:rPr>
        <w:t xml:space="preserve">Quelle: </w:t>
      </w:r>
      <w:r>
        <w:t>https://mcp.opencaselaw.ch/entscheid/ge_gerichte_DAAJ_73_2013</w:t>
      </w:r>
    </w:p>
    <w:p>
      <w:r>
        <w:t>FR: GE_GERICHTE DAAJ/73/2013 du 27 juin 2013</w:t>
      </w:r>
    </w:p>
    <w:p>
      <w:r>
        <w:t>IT: GE_GERICHTE DAAJ/73/2013 del 27 giugno 2013</w:t>
      </w:r>
    </w:p>
    <w:p>
      <w:pPr>
        <w:pStyle w:val="Heading2"/>
      </w:pPr>
      <w:r>
        <w:t>Erwägungen</w:t>
      </w:r>
    </w:p>
    <w:p>
      <w:r>
        <w:rPr>
          <w:b/>
        </w:rPr>
        <w:t>E. 1.1</w:t>
      </w:r>
    </w:p>
    <w:p>
      <w:r>
        <w:t>La décision entreprise est sujette à recours auprès du président de la Cour de justice en tant qu'elle refuse un changement d'avocat (art. 14 RAJ,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14 RAJ).</w:t>
      </w:r>
    </w:p>
    <w:p>
      <w:r>
        <w:rPr>
          <w:b/>
        </w:rPr>
        <w:t>E. 1.2</w:t>
      </w:r>
    </w:p>
    <w:p>
      <w:r>
        <w:t>En l'espèce, le recours est recevable pour avoir été interjeté dans le délai utile et en la forme écrite prescrite par la loi.</w:t>
      </w:r>
    </w:p>
    <w:p>
      <w:r>
        <w:t>- 3/4 -</w:t>
      </w:r>
    </w:p>
    <w:p>
      <w:r>
        <w:t>AC/1941/2012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À teneur l'art. 326 al. 1 CPC, les allégations de faits et les preuves nouvelles sont irrecevables dans le cadre d'une procédure de recours. Par conséquent, les allégués nouveaux de la recourante sont écartés de la procédure.</w:t>
      </w:r>
    </w:p>
    <w:p>
      <w:r>
        <w:rPr>
          <w:b/>
        </w:rPr>
        <w:t>E. 3.1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114 Ia 101 consid. 3).</w:t>
      </w:r>
    </w:p>
    <w:p>
      <w:r>
        <w:rPr>
          <w:b/>
        </w:rPr>
        <w:t>E. 3.2</w:t>
      </w:r>
    </w:p>
    <w:p>
      <w:r>
        <w:t>En l'espèce, bien que l'avocat lui-même ne se soit pas opposé à la volonté de la recourante de changer de mandataire, celle-ci n’apporte pas d’éléments objectifs pertinents laissant apparaître que ses intérêts auraient été mal défendus par l’avocat désigné d'office.</w:t>
      </w:r>
    </w:p>
    <w:p>
      <w:r>
        <w:t>Dès lors que les conditions posées par l'art. 14 RAJ ne sont pas réalisées, c'est à juste titre que l'Autorité de première instance a refusé le changement d'avocat sollicité.</w:t>
      </w:r>
    </w:p>
    <w:p>
      <w:r>
        <w:t>Partant, le recours, infondé, sera rejeté.</w:t>
      </w:r>
    </w:p>
    <w:p>
      <w:r>
        <w:rPr>
          <w:b/>
        </w:rPr>
        <w:t>E. 4</w:t>
      </w:r>
    </w:p>
    <w:p>
      <w:r>
        <w:t>Sauf exceptions non réalisées en l'espèce, il n'est pas perçu de frais judiciaires pour la procédure d'assistance juridique (art. 119 al. 6 CPC). * * * * *</w:t>
      </w:r>
    </w:p>
    <w:p>
      <w:r>
        <w:t>- 4/4 -</w:t>
      </w:r>
    </w:p>
    <w:p>
      <w:r>
        <w:t>AC/1941/2012 PAR CES MOTIFS, LA VICE-PRÉSIDENTE DE LA COUR : A la forme : Déclare recevable le recours formé par A______ contre la décision rendue le 27 juin 2013 par la Vice-présidente du Tribunal civil dans la cause AC/1941/2012. Au fond : Le rejette.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Copie conforme à : Me B______, avocat</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