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DAAJ/72/2018 vom 29. Juni 2018</w:t>
      </w:r>
    </w:p>
    <w:p>
      <w:r>
        <w:t>GE Cour de justice, 2018-06-29, FR</w:t>
      </w:r>
    </w:p>
    <w:p>
      <w:r>
        <w:rPr>
          <w:b/>
        </w:rPr>
        <w:t xml:space="preserve">Quelle: </w:t>
      </w:r>
      <w:r>
        <w:t>https://mcp.opencaselaw.ch/entscheid/ge_gerichte_DAAJ_72_2018</w:t>
      </w:r>
    </w:p>
    <w:p>
      <w:r>
        <w:t>FR: GE_GERICHTE DAAJ/72/2018 du 29 juin 2018</w:t>
      </w:r>
    </w:p>
    <w:p>
      <w:r>
        <w:t>IT: GE_GERICHTE DAAJ/72/2018 del 29 giugno 2018</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Le recours a été déposé dans le délai utile et selon la forme prescrite par la loi, sous réserve de l'exigence de motivation du recours qui fait l'objet du ch. 2. ci-après.</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w:t>
      </w:r>
    </w:p>
    <w:p>
      <w:r>
        <w:t>- 3/4 -</w:t>
      </w:r>
    </w:p>
    <w:p>
      <w:r>
        <w:t>AC/1824/2018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(DAAJ/139/2016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Le recourant se borne à alléguer que la décision querellée serait contradictoire avec une précédente décision d'octroi de l'assistance juridique. Cet élément ne suffit cependant pas à démontrer une violation du droit ou une constatation manifestement inexacte des faits dans l'examen effectué par l'autorité de première instance sur la nécessité pour le recourant d'être représenté par un avocat pour les démarches extrajudiciaires envisagées. Dans la mesure où l'absence de motivation de l'acte ne constitue pas un vice de forme réparable au sens de l'art. 132 CPC (HOHL, op. cit.,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 * * * * *</w:t>
      </w:r>
    </w:p>
    <w:p>
      <w:r>
        <w:t>- 4/4 -</w:t>
      </w:r>
    </w:p>
    <w:p>
      <w:r>
        <w:t>AC/1824/2018 PAR CES MOTIFS, LE VICE-PRÉSIDENT DE LA COUR : Déclare irrecevable le recours formé par A______ contre la décision rendue le 29 juin 2018 par le Vice-président du Tribunal civil dans la cause AC/1824/2018.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