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DAAJ/71/2016 vom 12. April 2016</w:t>
      </w:r>
    </w:p>
    <w:p>
      <w:r>
        <w:t>GE Cour de justice, 2016-04-12, FR</w:t>
      </w:r>
    </w:p>
    <w:p>
      <w:r>
        <w:rPr>
          <w:b/>
        </w:rPr>
        <w:t xml:space="preserve">Quelle: </w:t>
      </w:r>
      <w:r>
        <w:t>https://mcp.opencaselaw.ch/entscheid/ge_gerichte_DAAJ_71_2016</w:t>
      </w:r>
    </w:p>
    <w:p>
      <w:r>
        <w:t>FR: GE_GERICHTE DAAJ/71/2016 du 12 avril 2016</w:t>
      </w:r>
    </w:p>
    <w:p>
      <w:r>
        <w:t>IT: GE_GERICHTE DAAJ/71/2016 del 12 aprile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w:t>
      </w:r>
    </w:p>
    <w:p>
      <w:r>
        <w:t>- 4/7 -</w:t>
      </w:r>
    </w:p>
    <w:p>
      <w:r>
        <w:t>AC/312/2016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Lorsqu'elle s'achemine vers le refus de l'assistance judiciaire, l'autorité ne peut ni ignorer des faits qui tendraient à l'admission de la cause, ni renoncer à élucider la portée de faits essentiels encore peu clairs (arrêt du Tribunal fédéral 4A_592/2011 du 29 novembre 2011 consid. 3.3). 2.2.1. Lorsqu'il n'est pas possible de constater une réelle et commune intention des parties à propos de conditions générales d'assurance, celles-ci doivent être interprétées selon le principe de la confiance, soit en fonction du sens que les parties pouvaient ou devaient leur donner de bonne foi. S'agissant de dispositions préétablies, elles doivent en principe être interprétées de la même manière que des clauses rédigées individuellement. Est en particulier applicable le principe selon lequel il faut, en présence de clauses ambiguës, préférer, si elle figure parmi celles qui sont possibles, l'interprétation qui correspond à la solution légale. En effet, comme le législateur a, en règle générale, opéré une pesée des intérêts en cause, la partie qui veut s'écarter de la loi doit l'exprimer de façon suffisamment claire dans le contrat (ATF 126 III 388 consid. 9d et les arrêts cités). Aux termes de l'art. 61 LCA, lors du sinistre, l'ayant droit est obligé de faire tout ce qui est possible pour restreindre le dommage ; s'il n'y a pas péril en la demeure, il doit requérir les instructions de l'assureur et s'y conformer (al. 1) ; si l'ayant droit contrevient à cette obligation d'une manière inexcusable, l'assureur peut réduire l'indemnité au montant auquel elle serait ramenée si l'obligation avait été remplie (al. 2). Sous réserve de l'exigence d'une faute comme condition de toute réduction des prestations en cas de manquement de l'assuré (cf. art. 45 LCA), l'art. 61 LCA n'est pas impératif (cf. art. 97 et 98 LCA). Les parties peuvent donc préciser, voire aggraver, l'obligation de sauvetage que pose l'al. 1 de cette disposition légale et remplacer la réduction des prestations prévue à l'al. 2 par l'extinction complète du droit aux prestations en cas de violation fautive de ses incombances par l'assuré (arrêt du Tribunal fédéral 5C.55/2005 du 6 juin 2005 consid. 2.1).</w:t>
      </w:r>
    </w:p>
    <w:p>
      <w:r>
        <w:t>- 5/7 -</w:t>
      </w:r>
    </w:p>
    <w:p>
      <w:r>
        <w:t>AC/312/2016 Par ailleurs, en vertu de l'art. 38 al. 1 et 2 LCA, l'ayant droit doit aviser l'assureur aussitôt qu'il a eu connaissance du sinistre et de son droit à des prestations d'assurance ; s'il omet fautivement de donner cet avis, l'assureur a le droit de réduire l'indemnité à la somme qu'elle comporterait si la déclaration avait été faite à temps. Cette exigence a pour but de permettre à l'assureur, d'une part, de vérifier l'existence d'un droit à des prestations et, d'autre part, d'ordonner, si nécessaire, des mesures pour réduire le dommage. Sous réserve de l'exigence d'une faute comme condition de toute réduction des prestations en cas de manquement de l'assuré (cf. art. 45 LCA), l'art. 38 LCA n'est pas impératif (cf. art. 97 et 98 LCA). Les parties peuvent donc préciser, voire aggraver, l'obligation que pose l'al. 1 de cette disposition légale et remplacer la réduction des prestations prévue à l'al. 2 par l'extinction complète du droit aux prestations en cas de violation fautive de ses incombances par l'assuré (arrêt du Tribunal fédéral 5C.55/2005 précité consid. 2.3). 2.2.2. L'obligation d'aviser l'assureur de la survenance d'un sinistre, telle qu'elle ressort de l'art. 38 al. 1 LCA, a pour fonction de permettre à l'assureur de vérifier l'existence d'un droit à des prestations et d'ordonner, si nécessaire, des mesures pour réduire le dommage ; il s'agit donc d'une incombance dépendante (unselbstständige Obligenheit), qui ne poursuit pas un but en soi, mais vise à maintenir le rapport d'équivalence dans le contrat d'assurance. Le Tribunal fédéral en a déjà déduit, dans un arrêt du 11 décembre 2001 (arrêt 4C.314/1992 consid. 5b), que ce n'est que lorsque la violation de cette incombance a une incidence sur l'ensemble du rapport contractuel qu'elle produit des effets juridiques. La raison en est que la violation d'une incombance dépendante qui ne porte pas atteinte à l'équivalence des prestations n'est pas déterminante et reste donc dépourvue d'effet juridique. Aussi, l'assureur ne peut pas se prévaloir de la déchéance stipulée dans les conditions générales d'assurance s'il apparaît que l'omission de l'assuré de consulter rapidement un médecin et de faire une déclaration de sinistre dans les cinq jours n'a pas exercé d'influence sur la survenance de l'accident allégué ou sur l'étendue de la prestation d'assurance qui en découle (arrêt du Tribunal fédéral 5C.55/2005 précité consid. 4.1). C'est à l'assuré qui réclame le versement de prestations en contestant l'applicabilité d'une clause de déchéance qu'il appartient de prouver que la violation de l'une ou de l'autre de ses incombances n'a pas eu d'influence sur la survenance de l'événement redouté ou sur l'étendue de la prestation de l'assureur (arrêt du Tribunal fédéral 5C.55/2005 précité consid. 4.2). 2.2.3. D'après la jurisprudence, la violation de ses obligations par l'assuré n'est pas due à une faute, au sens de l'art. 45 LCA et des conditions générales d'assurance qui s'y rapportent, si des causes objectives, ou du moins non imputables à l'assuré, ont empêché celui-ci de respecter ses obligations (cf. ATF 115 II 88 consid. 4 ; 84 II 556 consid. 9 arrêt du Tribunal fédéral 5C.55/2005 précité consid. 3.1).</w:t>
      </w:r>
    </w:p>
    <w:p>
      <w:r>
        <w:t>- 6/7 -</w:t>
      </w:r>
    </w:p>
    <w:p>
      <w:r>
        <w:t>AC/312/2016</w:t>
      </w:r>
    </w:p>
    <w:p>
      <w:r>
        <w:rPr>
          <w:b/>
        </w:rPr>
        <w:t>E. 2.3</w:t>
      </w:r>
    </w:p>
    <w:p>
      <w:r>
        <w:t>En l'espèce, il ressort des éléments du dossier que le recourant devait aviser l'assureur de son incapacité de travail dans un certain délai prévu par les conditions générales d'assurance. Il ne paraît donc a priori pas arbitraire de considérer qu'il a failli à cette incombance en attendant plus de 6 mois pour annoncer le sinistre. Or, conformément aux conditions générales précitées, l'inobservation des obligations contractuelles - dont l'incombance précitée semble faire partie, contrairement à ce que soutient le recourant - était susceptible d'entraîner la suppression des prestations d'assurance. Cela étant, il n'est pas exclu que la violation – fautive ou non – de cette incombance ait pu être sans influence sur les prestations que l'assureur aurait dû verser, avec pour conséquence que la sanction prévue par l'art. 12 CGA serait inapplicable, conformément aux principes exposés ci-dessus. Le dossier ne contient cependant aucun élément permettant d'examiner, sous l'angle de la vraisemblance, les conséquences de la violation de ses obligations par le recourant sur l'étendue des prestations que l'assurance aurait dû verser en cas d'avis de sinistre dans le délai prescrit. La décision entreprise sera donc annulée et la cause renvoyée au premier juge pour instruction complémentaire sur ce point et nouvelle décision.</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 DAAJ/5/2015 du 5 février 2015 consid. 4). * * * * *</w:t>
      </w:r>
    </w:p>
    <w:p>
      <w:r>
        <w:t>- 7/7 -</w:t>
      </w:r>
    </w:p>
    <w:p>
      <w:r>
        <w:t>AC/312/2016 PAR CES MOTIFS, LE VICE-PRÉSIDENT DE LA COUR : A la forme : Déclare recevable le recours formé par A______ contre la décision rendue le 12 avril 2016 par le Vice-président du Tribunal civil dans la cause AC/312/2016. Au fond : Annule la décision entreprise. Cela fait : Renvoie la cause au Vice-président du Tribunal civil pour instruction complémentaire et nouvelle décision. Déboute A______ de toutes autres conclusions. Dit qu'il n'est pas perçu de frais judiciaires pour le recours, ni alloué de dépens. Notifie une copie de la présente décision à A______ en l'Étude de Me Marc MATHEY-DORET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