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DAAJ/70/2024 vom 22. Februar 2024</w:t>
      </w:r>
    </w:p>
    <w:p>
      <w:r>
        <w:t>GE Cour de justice, 2024-02-22, FR</w:t>
      </w:r>
    </w:p>
    <w:p>
      <w:r>
        <w:rPr>
          <w:b/>
        </w:rPr>
        <w:t xml:space="preserve">Quelle: </w:t>
      </w:r>
      <w:r>
        <w:t>https://mcp.opencaselaw.ch/entscheid/ge_gerichte_DAAJ_70_2024</w:t>
      </w:r>
    </w:p>
    <w:p>
      <w:r>
        <w:t>FR: GE_GERICHTE DAAJ/70/2024 du 22 février 2024</w:t>
      </w:r>
    </w:p>
    <w:p>
      <w:r>
        <w:t>IT: GE_GERICHTE DAAJ/70/2024 del 22 febbraio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Selon l'art. 117 CPC, une personne a droit à l'assistance judiciaire à condition a) qu'elle ne dispose pas de ressources suffisantes et b) que sa cause ne paraît pas dépourvue de toute chance de succès.</w:t>
      </w:r>
    </w:p>
    <w:p>
      <w:r>
        <w:t>Selon l'art. 119 al. 2 CPC, le requérant justifie de sa situation de fortune et de ses revenus et expose l'affaire et les moyens de preuve qu'il entend invoquer. Il peut indiquer dans sa requête le nom du conseil juridique qu'il souhaite.</w:t>
      </w:r>
    </w:p>
    <w:p>
      <w:r>
        <w:t>Selon l'art. 7 RAJ, la personne requérante doit fournir les renseignements et les pièces nécessaires à l'appréciation des mérites de sa cause et de sa situation personnelle (al. 1). Elle doit justifier de sa situation financière (al. 2, 1ère phr.). Si la personne requérante ne respecte pas ces obligations ou ne fournit pas dans les délais impartis les renseignements ou pièces qui lui sont réclamés, sa requête sera déclarée infondée (al. 3).</w:t>
      </w:r>
    </w:p>
    <w:p>
      <w:r>
        <w:t>- 4/7 -</w:t>
      </w:r>
    </w:p>
    <w:p>
      <w:r>
        <w:t>AC/3495/2023</w:t>
      </w:r>
    </w:p>
    <w:p>
      <w:r>
        <w:rPr>
          <w:b/>
        </w:rPr>
        <w:t>E. 2.1.1</w:t>
      </w:r>
    </w:p>
    <w:p>
      <w:r>
        <w:t>Une personne est indigente lorsqu'elle n'est pas en mesure d'assumer les frais de la procédure sans porter atteinte au minimum nécessaire à son entretien et à celui de sa famille (ATF 144 III 531 consid. 4.1; 141 III 369 consid. 4.1; arrêt du Tribunal fédéral 5A_984/2022 du 27 mars 2023 consid. 3.1).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arrêt du Tribunal fédéral 5A_984/2022 du 27 mars 2023 consid. 3.1 et la référence citée). Seules les charges réellement acquittées sont susceptibles d'entrer dans le calcul du minimum vital (ATF 135 I 221 consid. 5.1; 121 III 20 consid. 3a; arrêt 4A_480/2022 du 29 novembre 2022 consid. 3.1). Une dette ne peut être prise en compte que si elle concerne un bien ou un service de stricte nécessité et qu'elle fait l'objet d'un remboursement régulier (arrêt du Tribunal fédéral 5A_984/2022 du 27 mars 2023 consid. 3.1), ce qui doit être établi par une pièce (DAAJ/85/2018 du 30 octobre 2018; 36/2014 du 14 mai 2014 consid. 2.2).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rPr>
          <w:b/>
        </w:rPr>
        <w:t>E. 2.1.2</w:t>
      </w:r>
    </w:p>
    <w:p>
      <w:r>
        <w:t>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 2.2.1. En l'espèce, selon le calcul du minimum vital élargi, respectivement strict, le recourant ne remplit pas la condition d'indigence. En effet, son salaire mensuel net est d'au moins 6'275 fr., treizième salaire inclus, et il assume des charges mensuelles retenues à concurrence de 3'930 fr. (base mensuelle d'entretien augmentée de 25% : 1'500 fr., loyer, charges incluses, sans le garage : 1'175 fr., assurance-maladie : 665 fr., impôts, montant admis par le recourant : 520 fr. et frais de transports publics à ajouter, pour ses déplacements : 70 fr.), soit un disponible mensuel de 2'345 fr., respectivement de 2'645 fr. en s'en tenant à son minimum vital strict. Les frais de leasing ont été écartés avec raison, puisque les déplacements du recourant effectués au moyen d'une voiture d'une valeur de 50'000 fr. sont exorbitants à la notion d'indigence, d'une part, et, d'autre part, il ne rend pas vraisemblable qu'il ne pourrait pas</w:t>
      </w:r>
    </w:p>
    <w:p>
      <w:r>
        <w:t>- 5/7 -</w:t>
      </w:r>
    </w:p>
    <w:p>
      <w:r>
        <w:t>AC/3495/2023 effectuer ses déplacements professionnels au moyen du réseau, dense, des transports publics genevois. L'appartement en Valais est une résidence secondaire, de sorte que les intérêts hypothécaires, l'impôt foncier et les "frais de gérance" ne peuvent pas être considérés, puisqu'ils sont incompatibles avec la notion d'indigence. La nécessité des repas pris à l'extérieur n'a pas été justifiée et le loyer de l'ancien appartement commun est une charge qui a pris fin le 15 février 2024, selon le recourant. Quant au prêt du père, que le recourant rembourse à raison de 500 fr. par mois, la prise en compte de ces mensualités, le cas échéant, conduirait à une réduction du disponible mensuel du recourant au montant de 1'845 fr. (minimum vital élargi), respectivement à celui de 2'145 fr. (minimum vital strict), de sorte qu'il dispose en tout état de cause d'un disponible mensuel suffisant pour assumer les honoraires et frais des procédures du Tribunal et au TPAE, en rémunérant, si nécessaire, son conseil par mensualités. Il n'est donc pas nécessaire que le recourant entame sa fortune afin de se procurer les liquidités nécessaires pour acquitter les honoraires de son conseil et les frais judiciaires. 2.2.2. Cela étant, il sera relevé que le recourant ne peut pas se contenter d'affirmer que l'obtention de ressources financières en relation avec son appartement en Valais ne serait pas envisageable, mais il devait, en raison de son obligation de collaborer et des conditions légales relatives à l'octroi de l'assistance juridique, démontrer cette absence concrète de possibilité. Cela signifie qu'il devait, en particulier, produire un refus de la banque d'augmenter le montant du prêt hypothécaire, respectivement de grever sa seule part de copropriété. A cet égard, sa qualité de copropriétaire ou de propriétaire de l'appartement ne change rien du point de vue de son obligation d'établir qu'il a entrepris des démarches pour obtenir un financement au moyen de son bien immobilier, avant de solliciter l'aide de l'Etat. En effet, l'Assistance juridique ne peut pas financer des procédures judiciaires sur la base des seules affirmations des justiciables, mais doit disposer de justificatifs permettant de démontrer que l'octroi a été accordé en connaissance de cause et dans le respect des conditions légales. Quant à l'affirmation du recourant, selon laquelle la location dudit appartement serait "inenvisageable" en raison de la séparation conflictuelle du couple, il ne peut pas être aussi catégorique sans avoir posé la question à son ex-compagne et devait, là encore, produire un refus de celle-ci. En effet, son affirmation se concilie difficilement avec les "frais de gérance" de cet appartement, dont il a demandé la prise en compte dans ses charges mensuelles, d'une part. D'autre part, son ex-compagne pourrait accéder à une telle proposition afin de réduire ses charges mensuelles, lesquelles ont probablement augmenté à la suite de la séparation du couple. 2.2.3. Il résulte de ce qui précède que la vice-présidence du Tribunal civil a rejeté avec raison la requête d'assistance juridique. Infondé, le recours sera, dès lors, rejeté.</w:t>
      </w:r>
    </w:p>
    <w:p>
      <w:r>
        <w:rPr>
          <w:b/>
        </w:rPr>
        <w:t>E. 3</w:t>
      </w:r>
    </w:p>
    <w:p>
      <w:r>
        <w:t>Sauf exceptions non réalisées en l'espèce, il n'est pas perçu de frais judiciaires pour la procédure d'assistance juridique (art. 119 al. 6 CPC). Il n'y a pas lieu à l'octroi de dépens.</w:t>
      </w:r>
    </w:p>
    <w:p>
      <w:r>
        <w:t>- 6/7 -</w:t>
      </w:r>
    </w:p>
    <w:p>
      <w:r>
        <w:t>AC/3495/2023 * * * * *</w:t>
      </w:r>
    </w:p>
    <w:p>
      <w:r>
        <w:t>- 7/7 -</w:t>
      </w:r>
    </w:p>
    <w:p>
      <w:r>
        <w:t>AC/3495/2023 PAR CES MOTIFS, LA VICE-PRÉSIDENTE DE LA COUR :</w:t>
      </w:r>
    </w:p>
    <w:p>
      <w:r>
        <w:t>A la forme : Déclare recevable le recours formé le 8 mars 2024 par A______ contre la décision rendue le 22 février 2024 par la vice-présidence du Tribunal civil dans la cause AC/3495/2023.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