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DAAJ/70/2018 vom 2. März 2018</w:t>
      </w:r>
    </w:p>
    <w:p>
      <w:r>
        <w:t>GE Cour de justice, 2018-03-02, FR</w:t>
      </w:r>
    </w:p>
    <w:p>
      <w:r>
        <w:rPr>
          <w:b/>
        </w:rPr>
        <w:t xml:space="preserve">Quelle: </w:t>
      </w:r>
      <w:r>
        <w:t>https://mcp.opencaselaw.ch/entscheid/ge_gerichte_DAAJ_70_2018</w:t>
      </w:r>
    </w:p>
    <w:p>
      <w:r>
        <w:t>FR: GE_GERICHTE DAAJ/70/2018 du 2 mars 2018</w:t>
      </w:r>
    </w:p>
    <w:p>
      <w:r>
        <w:t>IT: GE_GERICHTE DAAJ/70/2018 del 2 marzo 2018</w:t>
      </w:r>
    </w:p>
    <w:p>
      <w:pPr>
        <w:pStyle w:val="Heading2"/>
      </w:pPr>
      <w:r>
        <w:t>Erwägungen</w:t>
      </w:r>
    </w:p>
    <w:p>
      <w:r>
        <w:rPr>
          <w:b/>
        </w:rPr>
        <w:t>E. 1.1</w:t>
      </w:r>
    </w:p>
    <w:p>
      <w:r>
        <w:t>Les décisions de remboursement prises par le vice-président du Tribunal civil, rendues en procédure sommaire (art. 119 al. 3 CPC), peuvent faire l'objet d'un recours auprès de la présidente de la Cour de justice (art. 121 CPC, 21 al. 3 LaCC, 11 et 19 al. 5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2e éd. 2010, n. 2513-2515).</w:t>
      </w:r>
    </w:p>
    <w:p>
      <w:r>
        <w:rPr>
          <w:b/>
        </w:rPr>
        <w:t>E. 2</w:t>
      </w:r>
    </w:p>
    <w:p>
      <w:r>
        <w:t>A teneur de l'art. 326 al. 1 CPC, les allégations de faits et les preuves nouvelles sont irrecevables dans le cadre d'une procédure de recours. Par conséquent, les allégués de faits dont la recourante n'a pas fait état en première instance - notamment le fait que l'enfant mineur ne souhaite plus être gardé par son père - et la pièce nouvelle ne seront pas pris en considération.</w:t>
      </w:r>
    </w:p>
    <w:p>
      <w:r>
        <w:rPr>
          <w:b/>
        </w:rPr>
        <w:t>E. 3.1</w:t>
      </w:r>
    </w:p>
    <w:p>
      <w:r>
        <w:t>D'après l'art. 123 al. 1 CPC,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l'Etat peut être exigé.</w:t>
      </w:r>
    </w:p>
    <w:p>
      <w:r>
        <w:rPr>
          <w:b/>
        </w:rPr>
        <w:t>E. 3.2</w:t>
      </w:r>
    </w:p>
    <w:p>
      <w:r>
        <w:t>En l'espèce, l'Autorité de première instance a considéré que le ménage formé par la recourante et ses deux enfants disposait d'un solde mensuel dépassant de 507 fr. le minimum vital élargi en vigueur à Genève, de sorte que cette amélioration de situation financière justifiait le remboursement d'une partie des frais consentis par l'Etat. En tant qu'elle se prévaut du fait que son ex-époux ne l'aiderait pas (ou plus) financièrement, la recourante invoque un fait nouveau, non soumis au premier juge, et qui est, partant, irrecevable. A teneur des pièces versées au dossier de première instance, c'est à juste titre que le Vice-président du Tribunal civil a considéré que les ressources mensuelles du ménage comprenaient notamment les pensions dues par l'ex-époux selon jugement de divorce du 22 juin 2017, puisque celles-ci avaient été acquittées en octobre, novembre et décembre 2017, en sus du versement d'autres montants. En outre, dans la mesure où la recourante n'a pas indiqué devant le premier juge avoir entamé (ou être sur</w:t>
      </w:r>
    </w:p>
    <w:p>
      <w:r>
        <w:t>- 5/6 -</w:t>
      </w:r>
    </w:p>
    <w:p>
      <w:r>
        <w:t>AC/2834/2016 le point d'entamer) une poursuite à l'encontre de son ex-époux afin d'encaisser les pensions dues, ni avoir saisi (ou être sur le point de saisir) le SCARPA, aucun élément ne permettait à ce dernier de retenir que l'ex-époux se dérobait à ses obligations alimentaires, étant précisé que la compensation opérée par ce dernier concernait la liquidation du régime matrimonial et non les contributions d'entretien. Quant au fait que la recourante ait initié une procédure afin d'obtenir la garde exclusive de l'enfant mineur ainsi qu'une modification - vraisemblablement à la hausse - de la pension due par le père à celui-ci, cet élément ne modifie en rien le raisonnement qui précède. C'est ainsi à bon droit, au vu des éléments portés à sa connaissance, que l'Autorité de première instance a tenu compte dans les ressources du ménage de la recourante des pensions alimentaires que son ex-époux a été condamné à lui payer lors du divorce. Il s'ensuit qu'elle dispose des moyens suffisants pour couvrir ses éventuels frais d'avocat. Partant, le recours, infondé, sera rejeté.</w:t>
      </w:r>
    </w:p>
    <w:p>
      <w:r>
        <w:rPr>
          <w:b/>
        </w:rPr>
        <w:t>E. 4</w:t>
      </w:r>
    </w:p>
    <w:p>
      <w:r>
        <w:t>Sauf exceptions non réalisées en l'espèce, il n'est pas perçu de frais judiciaires pour la procédure d'assistance juridique (art. 119 al. 6 CPC). * * * * *</w:t>
      </w:r>
    </w:p>
    <w:p>
      <w:r>
        <w:t>- 6/6 -</w:t>
      </w:r>
    </w:p>
    <w:p>
      <w:r>
        <w:t>AC/2834/2016 PAR CES MOTIFS, LE VICE-PRÉSIDENT DE LA COUR : A la forme : Déclare recevable le recours formé le 4 mai 2018 par A______ contre la décision rendue le 2 mars 2018 par le Vice-président du Tribunal civil dans la cause AC/2834/2016.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