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DAAJ/6/2023 vom 28. September 2022</w:t>
      </w:r>
    </w:p>
    <w:p>
      <w:r>
        <w:t>GE Cour de justice, 2022-09-28, FR</w:t>
      </w:r>
    </w:p>
    <w:p>
      <w:r>
        <w:rPr>
          <w:b/>
        </w:rPr>
        <w:t xml:space="preserve">Quelle: </w:t>
      </w:r>
      <w:r>
        <w:t>https://mcp.opencaselaw.ch/entscheid/ge_gerichte_DAAJ_6_2023</w:t>
      </w:r>
    </w:p>
    <w:p>
      <w:r>
        <w:t>FR: GE_GERICHTE DAAJ/6/2023 du 28 septembre 2022</w:t>
      </w:r>
    </w:p>
    <w:p>
      <w:r>
        <w:t>IT: GE_GERICHTE DAAJ/6/2023 del 28 settembre 2022</w:t>
      </w:r>
    </w:p>
    <w:p>
      <w:pPr>
        <w:pStyle w:val="Heading2"/>
      </w:pPr>
      <w:r>
        <w:t>Erwägungen</w:t>
      </w:r>
    </w:p>
    <w:p>
      <w:r>
        <w:rPr>
          <w:b/>
        </w:rPr>
        <w:t>E. 1.1</w:t>
      </w:r>
    </w:p>
    <w:p>
      <w:r>
        <w:t>La décision entreprise est sujette à recours auprès de la présidente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du 20 juin 2014 (RSG - E 2 05.47). Le recours, écrit et motivé, est introduit auprès de l'instance de recours dans un délai de 30 jours (art. 10 al. 3 LPA, 130, 131 et 321 al. 1 du code de procédure civile du 19 décembre 2008 - CPC – RS 272), applicables par renvoi des art. 10 al. 4 LPA et 8 al. 3 RAJ; arrêt du Tribunal fédéral 1B_171/2011 du 15 juin 2011 consid. 2.2).</w:t>
      </w:r>
    </w:p>
    <w:p>
      <w:r>
        <w:t>- 6/13 -</w:t>
      </w:r>
    </w:p>
    <w:p>
      <w:r>
        <w:t>AC/2529/2022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consid. 2). Il appartient en particulier au recourant de motiver en droit son recours et de démontrer l'arbitraire des faits retenus par l'instance inférieure (HOHL, Procédure civile, tome II, 2ème éd., n. 2513-2515).</w:t>
      </w:r>
    </w:p>
    <w:p>
      <w:r>
        <w:rPr>
          <w:b/>
        </w:rPr>
        <w:t>E. 2.1</w:t>
      </w:r>
    </w:p>
    <w:p>
      <w:r>
        <w:t>A teneur de l'art. 326 al. 1 CPC, les conclusions et les allégations de faits nouvelles sont irrecevables dans le cadre d'une procédure de recours.</w:t>
      </w:r>
    </w:p>
    <w:p>
      <w:r>
        <w:rPr>
          <w:b/>
        </w:rPr>
        <w:t>E. 2.2</w:t>
      </w:r>
    </w:p>
    <w:p>
      <w:r>
        <w:t>Par conséquent, les allégués de faits dont le recourant n'a pas fait état en première instance et les pièces nouvelles ne seront pas pris en considération. Ainsi, l'affirmation du recourant, dans son recours du 1er novembre 2022, selon laquelle c'était son ex-épouse qui aurait imité sa signature pour informer l'OCPM de ce qu'il souhaitait quitter définitivement la Suisse fin avril 2018 est irrecevable, puisqu'elle est nouvelle. De plus, le recours du 19 septembre 2022 auprès du TAPI, lequel n'a pas été remis au greffe de l'assistance juridique, est également irrecevable, ainsi que les allégations de fait qu'il contient et auxquelles le recourant revoie.</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w:t>
      </w:r>
    </w:p>
    <w:p>
      <w:r>
        <w:t>- 7/13 -</w:t>
      </w:r>
    </w:p>
    <w:p>
      <w:r>
        <w:t>AC/2529/2022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 art. 10 al. 2 de la loi d'application de la loi fédérale sur les étrangers du 16 juin 1988 - LaLEtr - F 2 10, a contrario).</w:t>
      </w:r>
    </w:p>
    <w:p>
      <w:r>
        <w:rPr>
          <w:b/>
        </w:rPr>
        <w:t>E. 5.1</w:t>
      </w:r>
    </w:p>
    <w:p>
      <w:r>
        <w:t>Le 1er janvier 2019, est entrée en vigueur une modification de la loi fédérale sur les étrangers du 16 décembre 2005 (LEtr), devenue la LEI.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w:t>
      </w:r>
    </w:p>
    <w:p>
      <w:r>
        <w:rPr>
          <w:b/>
        </w:rPr>
        <w:t>E. 5.2</w:t>
      </w:r>
    </w:p>
    <w:p>
      <w:r>
        <w:t>En l'occurrence, la demande de renouvellement de l'autorisation de séjour ayant été formée le 8 juin 2018, le dossier du recourant est soumis aux dispositions de la LEI dans sa teneur en vigueur jusqu'au 31 décembre 2018.</w:t>
      </w:r>
    </w:p>
    <w:p>
      <w:r>
        <w:rPr>
          <w:b/>
        </w:rPr>
        <w:t>E. 6.1</w:t>
      </w:r>
    </w:p>
    <w:p>
      <w:r>
        <w:t>Aux termes de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6.2</w:t>
      </w:r>
    </w:p>
    <w:p>
      <w:r>
        <w:t>Selon l'art. 50 al. 1 LEI dans sa teneur jusqu'au 31 décembre 2018,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w:t>
      </w:r>
    </w:p>
    <w:p>
      <w:r>
        <w:rPr>
          <w:b/>
        </w:rPr>
        <w:t>E. 6.3</w:t>
      </w:r>
    </w:p>
    <w:p>
      <w:r>
        <w:t>La limite légale de trois ans présente un caractère absolu, quand bien même la fin de la vie conjugale serait intervenue quelques jours ou semaines seulement avant l'expiration du délai (ATF 137 II 345 consid. 3.1.3; arrêt du Tribunal fédéral 2C_1111/2015 du 9 mai 2016 consid. 4.1; ATA/240/2022 du 8 mars 2022 consid. 7b, ATA/1211/2017 du 22 août 2017 consid. 7b). Elle se calcule en fonction de la durée</w:t>
      </w:r>
    </w:p>
    <w:p>
      <w:r>
        <w:t>- 8/13 -</w:t>
      </w:r>
    </w:p>
    <w:p>
      <w:r>
        <w:t>AC/2529/2022 pendant laquelle les époux ont fait ménage commun en Suisse (ATF 136 II 113 consid. 3.3.5; arrêt du Tribunal fédéral 2C_1111/2015 précité consid. 4.1), soit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et 2C_195/2010 du 23 juin 2010 consid. 5.1; ATA/1211/2017 précité consid. 7b).</w:t>
      </w:r>
    </w:p>
    <w:p>
      <w:r>
        <w:rPr>
          <w:b/>
        </w:rPr>
        <w:t>E. 6.4</w:t>
      </w:r>
    </w:p>
    <w:p>
      <w:r>
        <w:t>En l'occurrence, il apparaît que le recourant n'a plus fait plus ménage commun avec son ex-épouse depuis le 1er mai 2018 selon le jugement sur mesures protectrices de l'union conjugale du 15 novembre 2018, soit moins de trois ans après leur mariage qui a eu lieu le 24 mai 2017. Par conséquent, la première condition de l'ancien art. 50 al. 1 let. a LEI n'est a priori pas réalisée. Il n'est donc pas nécessaire d'examiner la question de la réussite de l'intégration, les deux conditions étant cumulatives. La question de savoir si, comme le soutient le recourant, la décision dont est recours et la décision de l'OCPM du 18 août 2022 ont retenu à tort qu'il aurait quitté la Suisse le 29 avril 2018 pour y revenir le 22 mai 2018 semble pouvoir souffrir de rester indécise. En effet, comme vu ci-dessus, le recourant ne remplit dans tous les cas pas la condition de l'ancien art. 50 al. 1 let. a LEI, de sorte que l'examen de sa requête en autorisation de séjour doit être examinée à l'aune des conditions du cas de rigueur prévu à l'art. 50 al. 1 let. b LEI, étant rappelé que l'art. 50 al. 1 let. b LEI confère un droit à la poursuite du séjour en Suisse, contrairement à l'art. 30 al. 1 let. b LEI (ATF 138 II 393 consid. 3.1; 137 II 345 consid. 3.2.1; 137 II 1 consid. 3; ATA/215/2020 du 25 février 2020 consid. 6a).</w:t>
      </w:r>
    </w:p>
    <w:p>
      <w:r>
        <w:rPr>
          <w:b/>
        </w:rPr>
        <w:t>E. 7.1</w:t>
      </w:r>
    </w:p>
    <w:p>
      <w:r>
        <w:t>Outre les hypothèses retenues à l'ancien art. 50 al. 1 let. a LEtr, le droit au renouvellement de l'autorisation de séjour délivrée en vertu des art. 42 et 43 LEI subsiste si la poursuite du séjour en Suisse s'impose pour des raisons personnelles majeures (art. 50 al. 1 let. b LEI; art. 77 al. 1 let. b OASA).</w:t>
      </w:r>
    </w:p>
    <w:p>
      <w:r>
        <w:rPr>
          <w:b/>
        </w:rPr>
        <w:t>E. 7.2</w:t>
      </w:r>
    </w:p>
    <w:p>
      <w:r>
        <w:t>L'art. 50 al. 1 let. b et al. 2 LEI a pour vocation d'éviter les cas de rigueur ou d'extrême gravité (ATF 137 II 1 consid. 3.1; arrêts du Tribunal fédéral 2C_500/2014 du 18 juillet 2014 consid. 7.1, 2C_165/2014 du 18 juillet 2014 consid. 3.1, 2C_220/2014 du 4 juillet 2014 consid. 2.3). 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2C_781/2010 du 16 février 2011 consid. 2.2).</w:t>
      </w:r>
    </w:p>
    <w:p>
      <w:r>
        <w:t>- 9/13 -</w:t>
      </w:r>
    </w:p>
    <w:p>
      <w:r>
        <w:t>AC/2529/2022 L'art. 50 al. 1 let. b et al. 2 LEI vise à régler les situations qui échappent aux dispositions de l'ancien 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w:t>
      </w:r>
    </w:p>
    <w:p>
      <w:r>
        <w:rPr>
          <w:b/>
        </w:rPr>
        <w:t>E. 7.3</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arrêt du Tribunal fédéral 2C_822/2013 du 25 janvier 2014 consid. 5.2). A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7.4</w:t>
      </w:r>
    </w:p>
    <w:p>
      <w:r>
        <w:t>Aux termes de l'art. 8 de la Convention de sauvegarde des droits de l'homme et des libertés fondamentales du 4 novembre 1950 (CEDH - RS 0.101), toute personne a notamment droit au respect de sa vie privée et familiale. Cette disposition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(en dernier lieu : arrêts CourEDH El Ghatet contre Suisse du 8 novembre 2016, requête n° 56971/10, § 44; B.A.C. contre Grèce du 13 octobre 2016, requête n° 11981/15, § 35 et les nombreuses références citées; ATF 143 I 21 consid. 5.1, 140 I 145 consid. 3.1 et les arrêts cités). Toutefois, le fait de refuser un droit de séjour à un étranger dont la famille se trouve en Suisse peut entraver sa vie familiale et porter ainsi atteinte au droit au respect de la vie privée et familiale garanti par cette disposition (ATF 140 I 145 consid. 3.1 et les arrêts cités). De même, un étranger peut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w:t>
      </w:r>
    </w:p>
    <w:p>
      <w:r>
        <w:t>- 10/13 -</w:t>
      </w:r>
    </w:p>
    <w:p>
      <w:r>
        <w:t>AC/2529/2022</w:t>
      </w:r>
    </w:p>
    <w:p>
      <w:r>
        <w:rPr>
          <w:b/>
        </w:rPr>
        <w:t>E. 7.5</w:t>
      </w:r>
    </w:p>
    <w:p>
      <w:r>
        <w:t>En l'espèce, le recourant est en Suisse depuis au mieux fin mai 2017, soit un peu moins de six ans, ce qui ne correspond pas à un séjour d'une longue durée selon la doctrine qui considère, de manière générale, qu'une période de sept à huit ans est une assez longue durée de séjour en Suisse (SON NGUYEN, in SON NGUYEN/AMARELLE [éd.], Code annoté du droit de la migration, vol. II : LEI, 2017, n. 41 ad art. 30 LEI), étant relevé que depuis le 23 mai 2020, il bénéficie d'une simple tolérance des autorités de migration. Le recourant ne paraît pas bénéficier d'une intégration socio-professionnelle exceptionnelle au sens de la jurisprudence, dans la mesure où il ne semble pas avoir acquis, à travers son emploi d'aide cuisinier dans un Kebab durant l'année 2020 des connaissances professionnelles si spécifiques qu'il ne pourrait les mettre en œuvre dans son pays d'origine ou ailleurs. Le recourant a d'ailleurs précisé dans son recours qu'il maîtrisait difficilement le français, signe que son intégration n'est pas parfaitement réussie. Il a, de plus, été au bénéficié de l'assistance publique, dès le 1er juillet 2018, pour un total de 112'041 fr. 75 au 23 juillet 2022, montant qui n'est pas négligeable. Son comportement n'est pas irréprochable, dans la mesure où il a été condamné, en 2020, à une peine pécuniaire de 60 jours-amende à 20 fr., avec un sursis à l'exécution de la peine et un délai d'épreuve de 3 ans pour lésions corporelles simples et dommages à la propriété. S'agissant de ses relations avec ses enfants, mineurs, le recourant n'a pas produit de pièces démontrant l'intensité de ses contacts avec eux, étant relevé qu'il ressort du jugement du Tribunal du 22 juin 2022 que le recourant n'a que très peu de relations avec ceux-là. En outre, le recourant ne fait pas ménage commun avec ses enfants, dont la garde a été confiée à la mère. Enfin, il n'apparaît pas que le recourant contribuerait financièrement à leur entretien. Il n'a d'ailleurs produit aucune pièce dans ce sens. Le recourant est arrivé en Suisse à l'âge de 27 ans. Ce n'est donc pas dans ce pays qu'il y a passé son enfance, son adolescence et les nombreuses années de sa vie d'adulte, périodes qui apparaissent comme essentielles pour la formation de la personnalité et, partant, pour l'intégration sociale et culturelle. Dans ces circonstances et, à première vue, il ne semble pas ressortir du dossier que le recourant puisse faire valoir des raisons personnelles constitutives de cas de rigueur, au sens des art. 50 al. 1 let. b et al. 2 LEI et 8 par. 1 CEDH, permettant de lui délivrer une autorisation de séjour. Ces mêmes considérations valent pour le cas où sa situation aurait été examinée sous l'angle de l'art. 30 al. 1 let. b LEI, relatif au cas de rigueur dans la mesure où ce sont les mêmes principes qui sont applicables, étant rappelé, que dans la mesure où le recourant a déjà été exempté des mesures de limitation, et a bénéficié d'une autorisation de séjour hors contingent, au titre du regroupement familial, à la suite de son mariage, son cas ne semble pas pouvoir être examiné sous l'angle de cet article (ATA/240/2022 du 8 mars 2022 consid. 9).</w:t>
      </w:r>
    </w:p>
    <w:p>
      <w:r>
        <w:t>- 11/13 -</w:t>
      </w:r>
    </w:p>
    <w:p>
      <w:r>
        <w:t>AC/2529/2022</w:t>
      </w:r>
    </w:p>
    <w:p>
      <w:r>
        <w:rPr>
          <w:b/>
        </w:rPr>
        <w:t>E. 8.1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w:t>
      </w:r>
    </w:p>
    <w:p>
      <w:r>
        <w:t>A teneur de l'art. 83 LEI, le renvoi d'un étranger ne peut être ordonné que si l'exécution de celui-ci est possible, licite ou peut être raisonnablement exigée (al. 1). L'exécution du renvoi n'est pas possible lorsque l'intéressé ne peut quitter la Suisse pour son Etat d'origine, son Etat de provenance ou un Etat tiers ni être renvoyé dans un de ces Etats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8.2</w:t>
      </w:r>
    </w:p>
    <w:p>
      <w:r>
        <w:t>L'art. 83 al. 4 LEI s'applique en premier lieu aux "réfugiés de la violence", soit aux étrangers qui ne remplissent pas les conditions de la qualité de réfugié parce qu'ils ne sont pas personnellement persécutés, mais qui fuient des situations de guerre ou de violence généralisée (POSSE-OUSMANE, in SON NGUYEN/AMARELLE , op. cit., n. 40 ad art. 83 LEI).</w:t>
      </w:r>
    </w:p>
    <w:p>
      <w:r>
        <w:rPr>
          <w:b/>
        </w:rPr>
        <w:t>E. 8.3</w:t>
      </w:r>
    </w:p>
    <w:p>
      <w:r>
        <w:t>En l'espèce, le recourant n'allègue pas que l'exécution de son retour dans son pays d'origine serait impossible, illicite ou inexigible au regard de l'art. 83 LEI. Il est toutefois douteux qu'un renvoi en Syrie puisse être exigible, compte tenu des conditions actuelles de sécurité régnant dans ce pays (voir par exemple ATF 147 II 421 consid. 6.1).</w:t>
      </w:r>
    </w:p>
    <w:p>
      <w:r>
        <w:t>Cela relevé, il ressort toutefois du dossier soumis à l'autorité de première instance que le recourant bénéficie du statut de réfugié en Allemagne, soit dans un Etat tiers sûr (arrêt du Tribunal administratif fédéral E-5887/2020 du 18 janvier 2022 consid. 3.3.1) où il semble y avoir de la famille. Il dispose ainsi d'une protection internationale en Allemagne, sous forme d'une protection subsidiaire. Il apparaît donc qu'il y est protégé contre un refoulement arbitraire, direct ou indirect, vers son pays d'origine. Enfin, prima vista, rien ne laisse penser que l'exécution du renvoi en Allemagne ne se heurterait à des obstacles insurmontables d'ordre technique. L'exécution de son renvoi semble ainsi possible, licite et peut être raisonnablement exigée. Au vu de ce qui précède, la vice-présidente du Tribunal de première instance était fondée à retenir que les chances de succès du recours du recourant auprès du TAPI paraissaient faibles. C'est donc de manière conforme au droit qu'elle a refusé d'octroyer le bénéfice de l'assistance judiciaire au recourant aux fins d'interjeter le recours contre la décision de l'OCPM du 18 août 2022.</w:t>
      </w:r>
    </w:p>
    <w:p>
      <w:r>
        <w:t>- 12/13 -</w:t>
      </w:r>
    </w:p>
    <w:p>
      <w:r>
        <w:t>AC/2529/2022</w:t>
      </w:r>
    </w:p>
    <w:p>
      <w:r>
        <w:rPr>
          <w:b/>
        </w:rPr>
        <w:t>E. 9</w:t>
      </w:r>
    </w:p>
    <w:p>
      <w:r>
        <w:t>Le recourant soutient également qu'il est en droit de bénéficier d'un avocat commis d'office dans le cadre de la procédure menée par-devant le TAPI compte tenu des enjeux et de la complexité de la procédure. Or, les conditions d'octroi de l'assistance juridique étant cumulatives, l'absence de chances de succès de la procédure pour laquelle l'assistance est sollicitée suffit pour commander le rejet du recours, sans qu'il soit nécessaire d'examiner la condition d'indigence ou la nécessité de se faire assister par un avocat. Partant, le recours, infondé, sera rejeté.</w:t>
      </w:r>
    </w:p>
    <w:p>
      <w:r>
        <w:rPr>
          <w:b/>
        </w:rPr>
        <w:t>E. 10</w:t>
      </w:r>
    </w:p>
    <w:p>
      <w:r>
        <w:t>Sauf exceptions non réalisées en l'espèce, il n'est pas perçu de frais judiciaires pour la procédure d'assistance juridique (art. 119 al. 6 CPC). Par ailleurs, il n'y a pas lieu à l'octroi de dépens, vu l'issue du recours. * * * * *</w:t>
      </w:r>
    </w:p>
    <w:p>
      <w:r>
        <w:t>- 13/13 -</w:t>
      </w:r>
    </w:p>
    <w:p>
      <w:r>
        <w:t>AC/2529/2022</w:t>
      </w:r>
    </w:p>
    <w:p>
      <w:r>
        <w:t>PAR CES MOTIFS, LA VICE-PRÉSIDENTE DE LA COUR :</w:t>
      </w:r>
    </w:p>
    <w:p>
      <w:r>
        <w:t>A la forme : Déclare recevable le recours formé par A______ contre la décision rendue le 28 septembre 2022 par la vice-présidente du Tribunal de première instance dans la cause AC/2529/2022. Au fond : Le rejette. Déboute A______ de toutes autres conclusions. Dit qu'il n'est pas perçu de frais judiciaires pour le recours, ni alloué de dépens. Notifie une copie de la présente décision à A______ en l'Étude de Me Razi ABDERRAHIM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