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DAAJ/68/2016 vom 12. April 2016</w:t>
      </w:r>
    </w:p>
    <w:p>
      <w:r>
        <w:t>GE Cour de justice, 2016-04-12, FR</w:t>
      </w:r>
    </w:p>
    <w:p>
      <w:r>
        <w:rPr>
          <w:b/>
        </w:rPr>
        <w:t xml:space="preserve">Quelle: </w:t>
      </w:r>
      <w:r>
        <w:t>https://mcp.opencaselaw.ch/entscheid/ge_gerichte_DAAJ_68_2016</w:t>
      </w:r>
    </w:p>
    <w:p>
      <w:r>
        <w:t>FR: GE_GERICHTE DAAJ/68/2016 du 12 avril 2016</w:t>
      </w:r>
    </w:p>
    <w:p>
      <w:r>
        <w:t>IT: GE_GERICHTE DAAJ/68/2016 del 12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- 4/6 -</w:t>
      </w:r>
    </w:p>
    <w:p>
      <w:r>
        <w:t>AC/150/2016</w:t>
      </w:r>
    </w:p>
    <w:p>
      <w:r>
        <w:rPr>
          <w:b/>
        </w:rPr>
        <w:t>E. 2</w:t>
      </w:r>
    </w:p>
    <w:p>
      <w:r>
        <w:t>Les allégations de faits et les preuves nouvelles sont irrecevables dans le cadre d'un recours (art. 326 al. 1 CPC).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Eu égard à la jurisprudence (ATF 129 III 385 consid. 5.1.2; arrêt du Tribunal fédéral 5C.107/2005 du 13 avril 2006), il y a lieu d'admettre la majoration de 20 % du montant de l'entretien de base selon les normes OP.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w:t>
      </w:r>
    </w:p>
    <w:p>
      <w:r>
        <w:rPr>
          <w:b/>
        </w:rPr>
        <w:t>E. 3.2</w:t>
      </w:r>
    </w:p>
    <w:p>
      <w:r>
        <w:t>En l'espèce, le montant de base OP du ménage du recourant a, à bon droit, été majoré de 20% afin de tenir compte de la jurisprudence susmentionnée. Par ailleurs, le montant allégué de 2'400 fr. par an à titre de frais de transport n'avait pas à être pris en considération, puisqu'il n'était ni justifié, ni prouvé. Concernant les revenus du recourant, le premier juge a, à juste titre, considéré que le bilan produit par celui-ci était dénué de force probante, puisqu'il l'a établi lui-même. Il importe donc peu que le montant mentionné (mais non retenu) dans la décision querellée soit de 14'572 fr. 60 au lieu de 16'972 fr. 60. Le premier juge a considéré qu'il n'était pas possible de déterminer les revenus réels du ménage du recourant, au regard des informations qui étaient en sa possession. Ainsi,</w:t>
      </w:r>
    </w:p>
    <w:p>
      <w:r>
        <w:t>- 5/6 -</w:t>
      </w:r>
    </w:p>
    <w:p>
      <w:r>
        <w:t>AC/150/2016 pour évaluer la situation financière de ce ménage, le premier juge s'est fondé sur les revenus totaux allégués, sans toutefois détailler de quels postes ils étaient constitués, pour les comparer avec les charges retenues. Dès lors qu'il ne s'agissait à nouveau que de la mention de revenus allégués, il importe peu de savoir si les allocations de logement étaient comprises dans ce montant. Au regard de la différence importante entre les revenus allégués (3'630 fr. environ) et les charges retenues (5'350 fr. environ), lesquelles sont donc vraisemblablement acquittées, et du fait que le compte bancaire du couple semble néanmoins toujours présenter un solde positif, il ne paraît pas arbitraire de considérer que la situation financière présentée par le recourant n'est pas conforme à la réalité. Cela est d'autant plus vrai qu'il semble fort douteux que le recourant ait pu obtenir un leasing pour l'acquisition d'un véhicule avec les revenus qu'il prétend réaliser. Compte tenu de ce qui précède, c'est sans violer le droit que le Vice-président du Tribunal civil a refusé d'octroyer le bénéfice de l'assistance juridique au recourant au motif que la condition d'indigence ne paraissait pas remplie. Partant, le recours, infondé, sera rejeté.</w:t>
      </w:r>
    </w:p>
    <w:p>
      <w:r>
        <w:rPr>
          <w:b/>
        </w:rPr>
        <w:t>E. 4</w:t>
      </w:r>
    </w:p>
    <w:p>
      <w:r>
        <w:t>Sauf exceptions non réalisées en l'espèce, il n'est pas perçu de frais judiciaires pour la procédure d'assistance juridique (art. 119 al. 6 CPC). * * * * *</w:t>
      </w:r>
    </w:p>
    <w:p>
      <w:r>
        <w:t>- 6/6 -</w:t>
      </w:r>
    </w:p>
    <w:p>
      <w:r>
        <w:t>AC/150/2016 PAR CES MOTIFS, LE VICE-PRÉSIDENT DE LA COUR : A la forme : Déclare recevable le recours formé par A______ contre la décision rendue le 12 avril 2016 par le Vice-président du Tribunal civil dans la cause AC/150/2016.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