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DAAJ/66/2018 vom 8. Juni 2018</w:t>
      </w:r>
    </w:p>
    <w:p>
      <w:r>
        <w:t>GE Cour de justice, 2018-06-08, FR</w:t>
      </w:r>
    </w:p>
    <w:p>
      <w:r>
        <w:rPr>
          <w:b/>
        </w:rPr>
        <w:t xml:space="preserve">Quelle: </w:t>
      </w:r>
      <w:r>
        <w:t>https://mcp.opencaselaw.ch/entscheid/ge_gerichte_DAAJ_66_2018</w:t>
      </w:r>
    </w:p>
    <w:p>
      <w:r>
        <w:t>FR: GE_GERICHTE DAAJ/66/2018 du 8 juin 2018</w:t>
      </w:r>
    </w:p>
    <w:p>
      <w:r>
        <w:t>IT: GE_GERICHTE DAAJ/66/2018 del 8 giugno 2018</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ainsi que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 Les ressources effectives des personnes qui ont à l'égard du requérant une obligation d'entretien doivent être prises en compte (ATF 119 Ia 11 consid. 3a), le devoir de l'État d'accorder l'assistance judiciaire à un plaideur impécunieux dans une cause non dénuée</w:t>
      </w:r>
    </w:p>
    <w:p>
      <w:r>
        <w:t>- 4/5 -</w:t>
      </w:r>
    </w:p>
    <w:p>
      <w:r>
        <w:t>AC/1558/2018 de chances de succès étant subsidiaire à l'obligation d'entretien qui résulte du droit de la famille (ATF 138 III 672 consid. 4.2.1 avec les références; arrêt du Tribunal fédéral 5A_556/2014 du 4 mars 2015 consid. 3.1). Le devoir d'aider son partenaire de vie, partie à une procédure judiciaire, par le versement d'une avance de frais judiciaires est de nature conjugale, de sorte qu'il ne concerne que les époux, non les concubins. Cependant, le fait de l'existence d'un ménage commun peut être pris en considération dans le calcul des besoins du concubin partie à un procès (ATF 142 III 36 consid. 2.3). La jurisprudence considère que le concubinage dont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(arrêts du Tribunal fédéral 8C_1008/2012 du 24 mai 2013 consid. 3.3.2; 5D_121/2009 du 30 novembre 2009 consid. 7.1).</w:t>
      </w:r>
    </w:p>
    <w:p>
      <w:r>
        <w:rPr>
          <w:b/>
        </w:rPr>
        <w:t>E. 3.2</w:t>
      </w:r>
    </w:p>
    <w:p>
      <w:r>
        <w:t>En l'espèce, l'unique grief du recourant porte sur la prise en compte des revenus de sa «compagne» dans le calcul opéré par l'Autorité de première instance. C'est toutefois à bon droit, à teneur des éléments portés à sa connaissance que le premier juge a considéré que le recourant faisait ménage commun avec sa compagne, puisque ce fait ressortait clairement du formulaire de requête d'assistance juridique du 16 mai 2018, du courrier d'avocat du 1er juin 2018 et des pièces y annexées. En tant qu'il soutient être en procédure de séparation, le recourant se prévaut d'un élément de fait non soumis au premier juge, qui est, partant, irrecevable. Les pièces nouvelles produites pour la première fois en seconde instance subissent le même sort. En tout état de cause, elles ne suffiraient pas à rendre vraisemblable la séparation du recourant au jour du dépôt de la requête - moment déterminant pour examiner sa situation économique -, puisqu'elles sont antérieures de plusieurs mois à la saisine du premier juge, lors de laquelle le recourant a expressément indiqué, comme retenu précédemment, vivre avec sa nouvelle compagne. C'est donc à juste titre, compte tenu de la communauté familiale formée par le recourant, sa compagne et leur enfant commun, que le premier juge a analysé la condition de l'indigence et tenant compte des revenus et des charges de l'ensemble du ménage. Infondé, le recours sera par conséquent rejeté.</w:t>
      </w:r>
    </w:p>
    <w:p>
      <w:r>
        <w:rPr>
          <w:b/>
        </w:rPr>
        <w:t>E. 4</w:t>
      </w:r>
    </w:p>
    <w:p>
      <w:r>
        <w:t>Sauf exceptions non réalisées en l'espèce, il n'est pas perçu de frais judiciaires pour la procédure d'assistance juridique (art. 119 al. 6 CPC).</w:t>
      </w:r>
    </w:p>
    <w:p>
      <w:r>
        <w:t>- 5/5 -</w:t>
      </w:r>
    </w:p>
    <w:p>
      <w:r>
        <w:t>AC/1558/2018 * * * * *</w:t>
      </w:r>
    </w:p>
    <w:p>
      <w:r>
        <w:t>PAR CES MOTIFS, LE VICE-PRÉSIDENT DE LA COUR : A la forme : Déclare recevable le recours formé le 20 juin 2018 par A______ contre la décision rendue le</w:t>
      </w:r>
    </w:p>
    <w:p>
      <w:r>
        <w:rPr>
          <w:b/>
        </w:rPr>
        <w:t>E. 8</w:t>
      </w:r>
    </w:p>
    <w:p>
      <w:r>
        <w:t>juin 2018 par le Vice-président du Tribunal civil dans la cause AC/1558/2018.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