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DAAJ/65/2014 vom 13. Juni 2014</w:t>
      </w:r>
    </w:p>
    <w:p>
      <w:r>
        <w:t>GE Cour de justice, 2014-06-13, FR</w:t>
      </w:r>
    </w:p>
    <w:p>
      <w:r>
        <w:rPr>
          <w:b/>
        </w:rPr>
        <w:t xml:space="preserve">Quelle: </w:t>
      </w:r>
      <w:r>
        <w:t>https://mcp.opencaselaw.ch/entscheid/ge_gerichte_DAAJ_65_2014</w:t>
      </w:r>
    </w:p>
    <w:p>
      <w:r>
        <w:t>FR: GE_GERICHTE DAAJ/65/2014 du 13 juin 2014</w:t>
      </w:r>
    </w:p>
    <w:p>
      <w:r>
        <w:t>IT: GE_GERICHTE DAAJ/65/2014 del 13 giugno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D'après l'art. 326 al. 1 CPC, les allégations de faits et les preuves nouvelles sont irrecevables dans le cadre d'un recours.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t>- 4/6 -</w:t>
      </w:r>
    </w:p>
    <w:p>
      <w:r>
        <w:t>AC/1476/2014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Sous réserve de certaines exceptions, les subsides sont notamment destinés aux assurés bénéficiaires des prestations complémentaires à l'AVS/AI ou de prestations complémentaires familiales accordées par le service des prestations complémentaires (art. 20 al. 1 let. b Loi d'application de la loi fédérale sur l'assurance-maladie ; LaLAMal – RSG J 3 05). Les subsides sont versés directement aux assureurs pour être intégralement déduits des primes des ayants droit (art. 29 al. 1 LaLAMal).</w:t>
      </w:r>
    </w:p>
    <w:p>
      <w:r>
        <w:rPr>
          <w:b/>
        </w:rPr>
        <w:t>E. 3.3</w:t>
      </w:r>
    </w:p>
    <w:p>
      <w:r>
        <w:t>En l'espèce, compte tenu des faits portés à sa connaissance, c'est à bon droit que le premier juge a exclu les frais de parking des charges admissibles du ménage du recourant, ceux-ci ne constituant pas une charge incompressible. La prime d'assurance-maladie complémentaire de l'épouse du recourant a été écartée à juste titre, car elle ne constitue pas non plus une charge incompressible (cf. ATF 134 III 323 consid. 3). Par ailleurs, contrairement à ce que soutient le recourant, les subsides d'assurance-maladie sont versés directement à son assureur. Il y a donc lieu de tenir compte de la totalité des montants versés par le Service des prestations complémentaires au recourant. Compte tenu de ce qui précède, le premier juge n'a donc ni violé le droit ni constaté les faits de manière inexacte en établissant la situation financière du recourant et en retenant que son minimum vital élargi s'élevait à près de 2'300 fr., ce montant étant suffisant pour amortir les frais d'avocat en une année pour la procédure envisagée. Partant, le recours, infondé, sera rejeté. Cela étant, la décision litigieuse n'aborde pas la question de la prise en charge par l'État de l'avance de frais qui sera requise du recourant lorsqu'il introduira son action en</w:t>
      </w:r>
    </w:p>
    <w:p>
      <w:r>
        <w:t>- 5/6 -</w:t>
      </w:r>
    </w:p>
    <w:p>
      <w:r>
        <w:t>AC/1476/2014 partage, alors que l'assistance juridique complète avait été demandée. L'existence d'un déni de justice n'ayant pas été invoquée et afin de respecter le principe du double degré de juridiction, l'Autorité de céans n'entrera cependant pas en matière sur cette question. Il incombera donc au recourant de demander à l'Autorité de première instance le prononcé d'une décision formelle sur ce point.</w:t>
      </w:r>
    </w:p>
    <w:p>
      <w:r>
        <w:rPr>
          <w:b/>
        </w:rPr>
        <w:t>E. 4</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 * * * * *</w:t>
      </w:r>
    </w:p>
    <w:p>
      <w:r>
        <w:t>- 6/6 -</w:t>
      </w:r>
    </w:p>
    <w:p>
      <w:r>
        <w:t>AC/1476/2014 PAR CES MOTIFS, LE VICE-PRÉSIDENT DE LA COUR : À la forme : Déclare recevable le recours formé par A______ contre la décision rendue le 13 juin 2014 par le Vice-président du Tribunal civil dans la cause AC/1476/2014. Au fond : Le rejette. Déboute A______ de toutes autres conclusions. Dit qu'il n'est pas perçu de frais judiciaires pour le recours, ni alloué de dépens. Notifie une copie de la présente décision à A______ en l'Étude de Me Christian van GESSEL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