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DAAJ/64/2015 vom 26. Mai 2015</w:t>
      </w:r>
    </w:p>
    <w:p>
      <w:r>
        <w:t>GE Cour de justice, 2015-05-26, FR</w:t>
      </w:r>
    </w:p>
    <w:p>
      <w:r>
        <w:rPr>
          <w:b/>
        </w:rPr>
        <w:t xml:space="preserve">Quelle: </w:t>
      </w:r>
      <w:r>
        <w:t>https://mcp.opencaselaw.ch/entscheid/ge_gerichte_DAAJ_64_2015</w:t>
      </w:r>
    </w:p>
    <w:p>
      <w:r>
        <w:t>FR: GE_GERICHTE DAAJ/64/2015 du 26 mai 2015</w:t>
      </w:r>
    </w:p>
    <w:p>
      <w:r>
        <w:t>IT: GE_GERICHTE DAAJ/64/2015 del 26 maggio 2015</w:t>
      </w:r>
    </w:p>
    <w:p>
      <w:pPr>
        <w:pStyle w:val="Heading2"/>
      </w:pPr>
      <w:r>
        <w:t>Erwägungen</w:t>
      </w:r>
    </w:p>
    <w:p>
      <w:r>
        <w:rPr>
          <w:b/>
        </w:rPr>
        <w:t>E. 1.1</w:t>
      </w:r>
    </w:p>
    <w:p>
      <w:r>
        <w:t>La décision entreprise est sujette à recours auprès du président de la Cour de justice en tant qu'elle refuse l'extension de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- 5/7 -</w:t>
      </w:r>
    </w:p>
    <w:p>
      <w:r>
        <w:t>AC/3162/2014</w:t>
      </w:r>
    </w:p>
    <w:p>
      <w:r>
        <w:rPr>
          <w:b/>
        </w:rPr>
        <w:t>E. 2</w:t>
      </w:r>
    </w:p>
    <w:p>
      <w:r>
        <w:t>Il ne sera pas donné suite à la conclusion préalable de la recourante tendant à son audition par la Cour au motif qu'elle a déjà eu l'occasion d'exprimer sa position tant dans son acte de recours que dans ses déterminations sur les observations de l'autorité précédente, qu'il n'existe pas un droit à être entendu oralement (ATF 125 I 209 consid. 9b, 122 II 464 consid. 4c) et qu'elle n'expose pas les raisons pour lesquelles son audition pourrait être utile à la résolution de la problématique litigieuse.</w:t>
      </w:r>
    </w:p>
    <w:p>
      <w:r>
        <w:rPr>
          <w:b/>
        </w:rPr>
        <w:t>E. 3</w:t>
      </w:r>
    </w:p>
    <w:p>
      <w:r>
        <w:t>al. 2 et 16 al. 2 RAJ; AC/2657/2011 du 8 novembre 2012 consid. 3.2).</w:t>
      </w:r>
    </w:p>
    <w:p>
      <w:r>
        <w:rPr>
          <w:b/>
        </w:rPr>
        <w:t>E. 3.1</w:t>
      </w:r>
    </w:p>
    <w:p>
      <w:r>
        <w:t>À teneur de l'art. 118 al. 2 CPC, l'assistance judiciaire peut être accordée totalement ou partiellement, ce qui signifie qu'elle doit être accordée, conformément au principe de proportionnalité, à la mesure de sa véritable nécessité (Message, p. 6912, ad art. 116 du projet CPC; HUBER, in Kommentar zur Schweizerischen Zivilprozessordnung [ZPO], SUTTER-SOMM/HASENBÖHLER/LEUENBERGER, 2010, n. 17 ad art. 118 CPC; GASSER/RICKLI, Schweizerische Zivilprozessordnung, Kurzkommentar, 2010, n. 4 ad art. 117 CPC), soit en quelque sorte "à la carte" (RUEGG, in Basler Kommentar, Schweizerische Zivilprozessordnung, SPÜHLER/TENCHIO/INFANGER, 2010, n. 2 ad art. 118 CPC). L'octroi partiel peut ainsi prendre diverses formes, selon les prestations accordées, l'étendue de celles-ci ou encore la phase de procès concernée (TAPPY, in CPC, Code de procédure civile commenté, BOHNET/HALDY/JEANDIN/SCHWEIZER/ TAPPY, 2011,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w:t>
      </w:r>
    </w:p>
    <w:p>
      <w:r>
        <w:rPr>
          <w:b/>
        </w:rPr>
        <w:t>E. 3.2</w:t>
      </w:r>
    </w:p>
    <w:p>
      <w:r>
        <w:t>Le bénéficiaire de l'assistance juridique est en droit, sur la base de l'art. 3 al. 1 seconde phrase RAJ, de solliciter une extension de la quotité des heures d'activité d'avocat allouées, en fonction des actes de procédure encore à accomplir. Il lui appartient toutefois de justifier que l'activité de son conseil a atteint le quota d'heures autorisées et que le travail accompli par celui-ci était utile et nécessaire à sa défense (art.</w:t>
      </w:r>
    </w:p>
    <w:p>
      <w:r>
        <w:rPr>
          <w:b/>
        </w:rPr>
        <w:t>E. 3.3</w:t>
      </w:r>
    </w:p>
    <w:p>
      <w:r>
        <w:t>En l'espèce, il y a lieu de préciser, à titre préalable, que le fait que la recourante n'ait pas formé recours contre les décisions du 12 décembre 2014 et du 30 avril 2015 est irrelevant. En effet, les faits à l'origine de la demande d'extension litigieuse - à savoir que les époux ne sont pas parvenus, malgré d'intenses négociations, à se mettre d'accord sur l'ensemble des effets accessoires du divorce - n'étaient pas connus lorsque la première de ces décisions a été rendue. Quant à la seconde décision, elle avait uniquement pour vocation de préciser la prise en charge des frais judiciaires et non de statuer sur la demande d'extension litigieuse.</w:t>
      </w:r>
    </w:p>
    <w:p>
      <w:r>
        <w:t>- 6/7 -</w:t>
      </w:r>
    </w:p>
    <w:p>
      <w:r>
        <w:t>AC/3162/2014 Reste donc à examiner si le refus de l'autorité précédente d'accorder à la recourante plus de 12 heures d'activité d'avocat pour sa défense dans une procédure sur requête commune en divorce avec accord partiel était justifié. Il est acquis que la recourante a établi, en déposant le relevé d'activité intermédiaire de son avocate, que la limite d'heure autorisées a déjà été atteinte. Il faut toutefois encore, pour qu'une suite favorable puisse être donnée à sa demande d'extension, qu'elle démontre que le travail accompli par son conseil était utile et nécessaire à sa défense. A teneur du relevé d'activité précité, son avocate a déjà consacré 3 heures pour des entretiens avec elle-même et son époux et 9 heures pour l'étude des documents, la rédaction d'une requête commune en divorce avec accord complet et la transformation de cette requête en requête commune en divorce avec accord partiel, courriers et entretiens téléphoniques non inclus. Or, si les 3 heures d'entretien sont admissibles, les 9 heures consacrées à l'étude des documents et à la rédaction des actes de procédure apparaissent objectivement excessives. En effet, l'étude des documents et la rédaction d'une requête commune en divorce avec accord complet ne sauraient nécessiter plus de 3 heures de travail lorsque, comme c'est le cas en l'espèce, les époux vivent séparés depuis longtemps, n'ont pas d'enfants communs, ne se réclame pas de contributions d'entretien et ont déjà liquidé leur rapports patrimoniaux au moment de la séparation. Par ailleurs, la transformation d'une requête commune en divorce avec accord complet en requête commune en divorce avec accord partiel ne devait, dans le cas particulier, pas excéder plus de 2 heures de travail dès lors que le seul point qui demeurait litigieux était le partage des avoirs de prévoyance professionnelle et que cet aspect ne présentait pas de difficultés juridiques particulières. Il résulte de ce qui précède que le travail concerné aurait objectivement pu être accompli en 8 heures (3 heures d'entretien et 5 heures d'études des documents et de rédaction), compte tenu de l'absence de difficultés en fait et en droit de la cause. Il subsiste donc un solde de 4 heures pour les autres démarches à accomplir. Or, en l'état du dossier et de l'avancée de la procédure en divorce, ce solde apparaît suffisant pour assurer la défense de la recourante jusqu'au prononcé du jugement au fond. Si tel ne devait pas être le cas, la recourante conservera la possibilité de demander une extension des heures d'activité d'avocat accordées. Au vu de ce qui précède, le recours sera rejeté et la décision entreprise confirmée.</w:t>
      </w:r>
    </w:p>
    <w:p>
      <w:r>
        <w:rPr>
          <w:b/>
        </w:rPr>
        <w:t>E. 4</w:t>
      </w:r>
    </w:p>
    <w:p>
      <w:r>
        <w:t>Sauf exceptions non réalisées en l'espèce, il n'est pas perçu de frais judiciaires pour la procédure d'assistance juridique (art. 119 al. 6 CPC).</w:t>
      </w:r>
    </w:p>
    <w:p>
      <w:r>
        <w:t>- 7/7 -</w:t>
      </w:r>
    </w:p>
    <w:p>
      <w:r>
        <w:t>AC/3162/2014 PAR CES MOTIFS, LE VICE-PRÉSIDENT DE LA COUR : A la forme : Déclare recevable le recours formé par A______ contre la décision rendue le 26 mai 2015 par le Vice-président du Tribunal civil dans la cause AC/3162/2014.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