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DAAJ/64/2014 vom 25. Juni 2014</w:t>
      </w:r>
    </w:p>
    <w:p>
      <w:r>
        <w:t>GE Cour de justice, 2014-06-25, FR</w:t>
      </w:r>
    </w:p>
    <w:p>
      <w:r>
        <w:rPr>
          <w:b/>
        </w:rPr>
        <w:t xml:space="preserve">Quelle: </w:t>
      </w:r>
      <w:r>
        <w:t>https://mcp.opencaselaw.ch/entscheid/ge_gerichte_DAAJ_64_2014</w:t>
      </w:r>
    </w:p>
    <w:p>
      <w:r>
        <w:t>FR: GE_GERICHTE DAAJ/64/2014 du 25 juin 2014</w:t>
      </w:r>
    </w:p>
    <w:p>
      <w:r>
        <w:t>IT: GE_GERICHTE DAAJ/64/2014 del 25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- 6/8 -</w:t>
      </w:r>
    </w:p>
    <w:p>
      <w:r>
        <w:t>AC/1086/2014</w:t>
      </w:r>
    </w:p>
    <w:p>
      <w:r>
        <w:rPr>
          <w:b/>
        </w:rPr>
        <w:t>E. 2.2</w:t>
      </w:r>
    </w:p>
    <w:p>
      <w:r>
        <w:t>Selon l'art. 69 al. 1 Loi sur la fusion, la scission, la transformation et le transfert de patrimoine (LFus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D'après l'art. 112 Ordonnance sur le registre du commerce (ORC ; RS 221.411), en cas de fusion, de scission, de transformation ou de transfert de patrimoine, les inscriptions de succursales sont maintenues pour autant que leur radiation ne soit pas requise.</w:t>
      </w:r>
    </w:p>
    <w:p>
      <w:r>
        <w:rPr>
          <w:b/>
        </w:rPr>
        <w:t>E. 2.3</w:t>
      </w:r>
    </w:p>
    <w:p>
      <w:r>
        <w:t>Aux termes de l'art. 83 al. 4 CPC, en l'absence d'aliénation de l'objet du litige, la substitution de partie est subordonnée au consentement de la partie adverse ; les dispositions spéciales prévoyant la succession d'un tiers aux droits ou obligations des parties sont réservées. La substitution des parties a ainsi lieu de plein droit notamment en cas de succession pour cause de mort (art. 560 al. 1 CC ; les héritiers prennent la place du défunt au procès), de faillite (art. 240 LP ; la masse en faillite ou le créancier cessionnaire de celle-ci remplace le failli au procès), de reprise des actifs et passifs d'une entreprise au sens de l'art. 181 CO (ATF 106 II 346 consid. 1 ; arrêt du Tribunal fédéral 4A_215/2009 du 6 août 2009 consid. 3.1).</w:t>
      </w:r>
    </w:p>
    <w:p>
      <w:r>
        <w:rPr>
          <w:b/>
        </w:rPr>
        <w:t>E. 2.4</w:t>
      </w:r>
    </w:p>
    <w:p>
      <w:r>
        <w:t>En l'espèce, il ressort des pièces produites que D______ a repris les actifs et passifs de C______. D______ était ainsi, a priori, légitimée à continuer la procédure initiée par C______ contre le recourant. Le fait que ce soit C______ qui figure comme partie sur l'autorisation de procéder n'y change rien, dès lors que même si elle n'a pas été radiée du registre du commerce (ce qui n'a aucune conséquence sur le transfert de patrimoine, au regard des règles rappelées ci-dessus), la substitution de parties par suite de reprise des actifs et passifs d'une société intervient de plein droit et doit être prise en considération d'office. Par ailleurs, c'est en vain que le recourant se prévaut du fait que le juge du fond a procédé à des actes d'instruction sur la question de la légitimité active de la société demanderesse. En effet, le fait de procéder à des mesures d'instruction, aux fins notamment de respecter le droit d'être entendu des parties, n'exerce aucune influence sur l'examen des chances de succès d'une partie à la procédure. En outre, en ce qui concerne les prétentions de la partie demanderesse, il y a lieu de relever que le recourant avait lui-même déposé son véhicule dans un garage en vue d'effectuer des réparations. De plus, le rapport de police mentionne également que le véhicule comportait de nombreux légers dommages de carrosserie et était dans l'impossibilité de circuler en raison de problèmes électroniques Les contestations du</w:t>
      </w:r>
    </w:p>
    <w:p>
      <w:r>
        <w:t>- 7/8 -</w:t>
      </w:r>
    </w:p>
    <w:p>
      <w:r>
        <w:t>AC/1086/2014 recourant au sujet des frais de remise en état du véhicule ne paraissent donc, au premier abord, pas fondées. En ce qui concerne la demande reconventionnelle, il ressort des pièces produites que le témoin que le recourant souhaite faire entendre dans le cadre de la procédure au fond est l'un de ses amis. Il paraît, prima facie, très probable que le témoignage de l'ami du recourant ne soit pas considéré, par le juge du fond, comme une preuve suffisante pour admettre que les biens du recourant se trouvaient bien dans le coffre du véhicule. Par ailleurs, comme l'a retenu le premier juge, les factures relatives aux objets achetés par le recourant ne constituent en aucun cas une preuve que lesdits objets se trouvaient bien dans le véhicule en question. Pour le surplus, le fait que le recourant ait déposé plainte pénale en raison de la disparition de ces objets ne constitue pas non plus une preuve convaincante. Compte tenu de l'ensemble de ce qui précède, c'est à bon droit que l'Autorité de première instance a refusé d'accorder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la conclusion tendant implicitement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- 8/8 -</w:t>
      </w:r>
    </w:p>
    <w:p>
      <w:r>
        <w:t>AC/1086/2014 PAR CES MOTIFS, LE VICE-PRÉSIDENT DE LA COUR : À la forme : Déclare recevable le recours formé par A______ contre la décision rendue le 25 juin 2014 par le Vice-président du Tribunal civil dans la cause AC/1086/2014. Au fond : Le rejette. Déboute A______ de toutes autres conclusions. Dit qu'il n'est pas perçu de frais judiciaires pour le recours, ni alloué de dépens. Notifie une copie de la présente décision à A______ en l'Étude de Me Emmanuel HOFFMANN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