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DAAJ/63/2025 vom 27. Februar 2025</w:t>
      </w:r>
    </w:p>
    <w:p>
      <w:r>
        <w:t>GE Cour de justice, 2025-02-27, FR</w:t>
      </w:r>
    </w:p>
    <w:p>
      <w:r>
        <w:rPr>
          <w:b/>
        </w:rPr>
        <w:t xml:space="preserve">Quelle: </w:t>
      </w:r>
      <w:r>
        <w:t>https://mcp.opencaselaw.ch/entscheid/ge_gerichte_DAAJ_63_2025</w:t>
      </w:r>
    </w:p>
    <w:p>
      <w:r>
        <w:t>FR: GE_GERICHTE DAAJ/63/2025 du 27 février 2025</w:t>
      </w:r>
    </w:p>
    <w:p>
      <w:r>
        <w:t>IT: GE_GERICHTE DAAJ/63/2025 del 27 febbraio 2025</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w:t>
      </w:r>
    </w:p>
    <w:p>
      <w:r>
        <w:t>- 5/9 -</w:t>
      </w:r>
    </w:p>
    <w:p>
      <w:r>
        <w:t>AC/425/2025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À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t>- 6/9 -</w:t>
      </w:r>
    </w:p>
    <w:p>
      <w:r>
        <w:t>AC/425/2025</w:t>
      </w:r>
    </w:p>
    <w:p>
      <w:r>
        <w:rPr>
          <w:b/>
        </w:rPr>
        <w:t>E. 4.1</w:t>
      </w:r>
    </w:p>
    <w:p>
      <w:r>
        <w:t>Selon l’art. 132 al. 2 LOJ, le recours à la Chambre administrative est ouvert contre les décisions des autorités et juridictions administratives au sens des art. 4, 4A, 5, 6 al. 1 let. a et e et 57 LPA. Sont réservées les exceptions prévues par la loi. Sont considérées comme des décisions au sens de l’art. 4 al. 1 LPA les mesures individuelles et concrètes prises par l’autorité dans les cas d’espèce fondés sur le droit public fédéral, cantonal, communal et ayant pour objet : a) de créer, de modifier ou d’annuler des droits ou des obligations; b) de constater l’existence, l’inexistence ou l’étendue de droits, d’obligations ou de faits; c) de rejeter ou de déclarer irrecevables des demandes tendant à créer, modifier, annuler ou constater des droits ou obligations. 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La Chambre administrative examine d'office et librement la recevabilité des recours qui lui sont soumis (ATA/9/2025 du 7 janvier 2025 consid. 1).</w:t>
      </w:r>
    </w:p>
    <w:p>
      <w:r>
        <w:rPr>
          <w:b/>
        </w:rPr>
        <w:t>E. 4.2</w:t>
      </w:r>
    </w:p>
    <w:p>
      <w:r>
        <w:t>La LIP s'applique, notamment, aux membres du corps enseignant secondaire de l'instruction publique (art. 1 al. 4 LIP). La LIP a pour objet de définir les objectifs généraux de l'instruction publique. À ce titre, elle régit en particulier les principes généraux en matière de personnel enseignant (art. 2 let. j LIP). L'art. 123 LIP prévoit que les membres du corps enseignant doivent observer dans leur attitude la dignité qui correspond aux missions, notamment d'éducation et d'instruction qui leur incombent (al. 1). Ils sont tenus au respect de l'intérêt de l'État et doivent s'abstenir de tout ce qui peut lui porter préjudice (al. 2). Cette règle est reprise à l'art. 20 RStCE. L'art. 21 al. 1 RStCE prévoit quant à lui que les membres du corps enseignant se doivent de remplir tous les devoirs de leur fonction consciencieusement et avec diligence. L'enseignant doit jouir d'une bonne réputation (art. 45 let. b RStCE). Par ailleurs, l'art. 114 al. 1 LIP prévoit que, dans le cadre scolaire, chaque élève a droit à une protection particulière de son intégrité physique et psychique et au respect de sa dignité.</w:t>
      </w:r>
    </w:p>
    <w:p>
      <w:r>
        <w:rPr>
          <w:b/>
        </w:rPr>
        <w:t>E. 4.3</w:t>
      </w:r>
    </w:p>
    <w:p>
      <w:r>
        <w:t>Selon la directive D.RH.00.25 du 12 mai 2020 sur les devoirs de fonction du personnel enseignant, administratif et technique en matière de protection de l’intégrité physique et psychique des élèves, apprentis et stagiaires et de respect et de leur dignité, édictée par la direction des RH, prévoit que, dans toute relation, notamment dans le cadre professionnel avec des élèves apprentis et stagiaires, les membres du personnel doivent garder une distance adéquate y compris sur les réseaux sociaux. Le personnel enseignant, en raison du rôle d’autorité qu’il exerce sur les élèves et, en conséquence, de l’influence sur ces derniers, se doit de veiller à adopter, que ce soit en classe ou en</w:t>
      </w:r>
    </w:p>
    <w:p>
      <w:r>
        <w:t>- 7/9 -</w:t>
      </w:r>
    </w:p>
    <w:p>
      <w:r>
        <w:t>AC/425/2025 dehors, un comportement qui préserve la confiance que les élèves, les parents et la collectivité ont placé en lui. En particulier, les comportements suivants à l’égard des élèves, quel que soit leur âge, constituent une violation des devoirs de service, y compris sur les réseaux sociaux : propos ou comportement discriminant, dévalorisant, humiliant, dégradant portant notamment sur le physique, les origines, l’orientation ou l’identité sexuelle.</w:t>
      </w:r>
    </w:p>
    <w:p>
      <w:r>
        <w:rPr>
          <w:b/>
        </w:rPr>
        <w:t>E. 4.4</w:t>
      </w:r>
    </w:p>
    <w:p>
      <w:r>
        <w:t>Selon la jurisprudence, En tant que membre du corps enseignant, l'enseignant est chargé d'une mission d'éducation dont les objectifs sont énoncés à l'art. 10 LIP. Son rôle est ainsi de contribuer au développement intellectuel, manuel et artistique des élèves, à leur éducation physique mais aussi à leur formation morale à une période sensible où les élèves passent de l'adolescence à l'état de jeune adulte. Dans ce cadre, l'enseignant constitue, à l'égard des élèves, à la fois une référence et une image qui doivent être préservées. Il lui appartient donc d'adopter en tout temps un comportement auquel ceux-ci puissent s'identifier. À défaut, il détruirait la confiance que la collectivité, et en particulier les parents et les élèves, ont placée en lui (ATA/1619/2019 du 5 novembre 2019 consid. 4c; ATA/585/2015 du 9 juin 2015 consid. 11; ATA/605/2011 du 27 septembre 2011 consid. 8).</w:t>
      </w:r>
    </w:p>
    <w:p>
      <w:r>
        <w:rPr>
          <w:b/>
        </w:rPr>
        <w:t>E. 4.5</w:t>
      </w:r>
    </w:p>
    <w:p>
      <w:r>
        <w:t>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123 V 150 consid. 2 et les références citées; ATA/927/2020 du 22 septembre 2020 consid. 4b).</w:t>
      </w:r>
    </w:p>
    <w:p>
      <w:r>
        <w:rPr>
          <w:b/>
        </w:rPr>
        <w:t>E. 4.6</w:t>
      </w:r>
    </w:p>
    <w:p>
      <w:r>
        <w:t>Le principe de la proportionnalité (art. 5 al. 2 Cst.)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143 I 403 consid. 5.6.3; 142 I 76 consid. 3.5.1; arrêt du Tribunal fédéral 8C_635/2020 du 13 janvier 2022 consid. 3.1).</w:t>
      </w:r>
    </w:p>
    <w:p>
      <w:r>
        <w:rPr>
          <w:b/>
        </w:rPr>
        <w:t>E. 4.7</w:t>
      </w:r>
    </w:p>
    <w:p>
      <w:r>
        <w:t>En l'occurrence, le recourant ne conteste pas l'appréciation de l'autorité de première instance selon laquelle la recevabilité du recours formé devant la Chambre administrative paraissait douteuse (cf. ATA/503/2024 du 23 avril 2024), faute pour le courrier litigieux du DIP de constituer une décision au sens de l'art. 4 LPA.</w:t>
      </w:r>
    </w:p>
    <w:p>
      <w:r>
        <w:t>Par ailleurs, le pronostic des chances de succès sur le fond doit être confirmé. Le recourant semble avoir adopté, par deux fois, un comportement inapproprié à l'égard de ses élèves, ce qui va à l'encontre de ses devoirs d'enseignant. En effet, après avoir adressé des propos inadéquats à certaines élèves du cycle de C______ en juin 2024 – ce</w:t>
      </w:r>
    </w:p>
    <w:p>
      <w:r>
        <w:t>- 8/9 -</w:t>
      </w:r>
    </w:p>
    <w:p>
      <w:r>
        <w:t>AC/425/2025 qui lui a valu un rappel au sujet de ses obligations professionnelles – le recourant a offert un collier plaqué or à une de ses élèves de l'ECG. Or, en offrant un tel bijou – d'une certaine valeur – à une élève dont il a la charge, le recourant paraît avoir manqué de distance et souhaité que la relation aille au-delà de la mission d'éducation dont les objectifs sont énoncés à l'art. 10 LIP. De prime abord, le DIP paraît ainsi être en droit de reprocher au recourant une violation de ses devoirs d’enseignant. Le choix de ne plus faire appel à ses services semble par ailleurs respecter le principe de la proportionnalité. À première vue, la mesure poursuit un but d’intérêt public consistant à protéger les élèves de comportements inadéquats. L'intérêt privé du recourant à ce que le DIP fasse appel à lui pour des remplacements paraît devoir céder le pas à celui du DIP à voir un remplaçant respecter son devoir d’exemplarité en gardant en tout temps la distance requise avec les élèves. De plus, il semble que la règlementation applicable ne prévoit pas de sanction disciplinaire pour les membres du personnel du DIP engagés en qualité de remplaçants. Enfin, le fait que le recourant bénéficie d'un suivi psychologique lui permettant de mieux appréhender la réalité paraît avoir un poids moindre dans la mesure où, déjà au mois de juin 2024, la directrice du cycle lui avait rappelé la nécessité de garder en tout temps une posture professionnelle adéquate en évitant toute proximité inappropriée avec les élèves ou toute situation pouvant prêter à confusion. Il en est de même du courrier de sa mère plaidant sa cause, au vu du lien de parenté qui les lie, comme retenu à juste titre par l'autorité de première instance. Au vu de ce qui précède, la vice-présidence du Tribunal civil était fondée à retenir que les chances de succès du recours formé par le recourant auprès de la Chambre administrative paraissaient très faibles. C'est donc de manière conforme au droit qu'elle a refusé d'octroyer le bénéfice de l'assistance judiciaire au recourant pour cette procédure. Partant, le recours, mal fondé, sera rejeté.</w:t>
      </w:r>
    </w:p>
    <w:p>
      <w:r>
        <w:rPr>
          <w:b/>
        </w:rPr>
        <w:t>E. 5</w:t>
      </w:r>
    </w:p>
    <w:p>
      <w:r>
        <w:t>Sauf exceptions non réalisées en l'espèce, il n'est pas perçu de frais judiciaires pour la procédure d'assistance juridique (art. 119 al. 6 CPC). * * * * *</w:t>
      </w:r>
    </w:p>
    <w:p>
      <w:r>
        <w:t>- 9/9 -</w:t>
      </w:r>
    </w:p>
    <w:p>
      <w:r>
        <w:t>AC/425/2025 PAR CES MOTIFS, LA VICE-PRÉSIDENTE DE LA COUR :</w:t>
      </w:r>
    </w:p>
    <w:p>
      <w:r>
        <w:t>A la forme : Déclare recevable le recours formé par A______ contre la décision rendue le 27 février 2025 par la vice-présidence du Tribunal civil dans la cause AC/425/2025.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Victoria PALAZZETTI, greffière.</w:t>
      </w:r>
    </w:p>
    <w:p>
      <w:r>
        <w:t>Indication des voies de recours :</w:t>
      </w:r>
    </w:p>
    <w:p>
      <w:r>
        <w:t>La présente décision incidente peut être portée dans les trente jours qui suivent sa notification par-devant le Tribunal fédéral par la voie du recours en matière de droit public (art. 82 ss de la loi fédérale sur le Tribunal fédéral du 17 juin 2005 [LTF; RS 173.110]) si la valeur litigieuse n'est pas inférieure à 15'000 fr. ou par la voie du recours constitutionnel subsidiaire, aux conditions posées par les art. 113 ss LTF, si la valeur litigieuse est inférieure à 15'000 fr.</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