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DAAJ/63/2019 vom 20. Februar 2019</w:t>
      </w:r>
    </w:p>
    <w:p>
      <w:r>
        <w:t>GE Cour de justice, 2019-02-20, FR</w:t>
      </w:r>
    </w:p>
    <w:p>
      <w:r>
        <w:rPr>
          <w:b/>
        </w:rPr>
        <w:t xml:space="preserve">Quelle: </w:t>
      </w:r>
      <w:r>
        <w:t>https://mcp.opencaselaw.ch/entscheid/ge_gerichte_DAAJ_63_2019</w:t>
      </w:r>
    </w:p>
    <w:p>
      <w:r>
        <w:t>FR: GE_GERICHTE DAAJ/63/2019 du 20 février 2019</w:t>
      </w:r>
    </w:p>
    <w:p>
      <w:r>
        <w:t>IT: GE_GERICHTE DAAJ/63/2019 del 20 febbraio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w:t>
      </w:r>
    </w:p>
    <w:p>
      <w:r>
        <w:t>- 7/9 -</w:t>
      </w:r>
    </w:p>
    <w:p>
      <w:r>
        <w:t>AC/4/2016 ne pourront pas être prouvés (arrêt du Tribunal fédéral 4A_614/2015 du 25 avril 2016 consid. 3.2).</w:t>
      </w:r>
    </w:p>
    <w:p>
      <w:r>
        <w:rPr>
          <w:b/>
        </w:rPr>
        <w:t>E. 2.2</w:t>
      </w:r>
    </w:p>
    <w:p>
      <w:r>
        <w:t>Une fois que des mesures provisionnelles ont été ordonnées, elles ne peuvent être modifiées qu'aux conditions de l'art. 179 CC (ATF 137 III 614 consid. 3.2.2; arrêts du Tribunal fédéral 5A_15/2014 du 28 juillet 2014 consid. 3; 5A_562/2013 du 24 octobre 2013 consid. 3.1).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5A_787/2017 du 28 novembre 2017 consid. 5.1; 5A_732/2015 du 8 février 2016 consid. 2).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 La survenance d'une modification essentielle et durable dans la situation familiale s'apprécie à la date du dépôt de la demande de modification (arrêts du Tribunal fédéral 5A_732/2015 du 8 février 2016 consid. 2; 5A_22/2014 du 13 mai 2014 consid. 3.1). Si la situation évolue en cours de procédure, celle-ci peut être prise en compte conformément au régime applicable en matière d'allégation des faits (BOHNET, Les mesures protectrices de l'union conjugale et les mesures provisionnelles dans le cadre d'un divorce : vingt-cinq questions de procédure, in BOHNET/DUPONT, Les mesures provisionnelles en procédure civile, pénale et administrative, 2015, n. 63). Lorsqu'un débirentier modifie volontairement ses conditions de vie, avec pour conséquence une diminution de son revenu, il est admissible de lui imputer un revenu hypothétique si le changement envisagé implique une diminution significative du revenu par rapport à celui qu'il pouvait réaliser grâce à son précédent emploi et s'il ne démontre pas avoir entrepris tous les efforts que l'on pouvait attendre de lui afin de réaliser un revenu équivalent à celui qu'il percevait (arrêts du Tribunal fédéral 5A_120/2014 du 2 septembre 2014 consid. 4.1 et 5A_662/2013 du 24 juin 2014 consid. 3.2.1).</w:t>
      </w:r>
    </w:p>
    <w:p>
      <w:r>
        <w:rPr>
          <w:b/>
        </w:rPr>
        <w:t>E. 2.3</w:t>
      </w:r>
    </w:p>
    <w:p>
      <w:r>
        <w:t>En l'espèce, dans le cadre de la procédure au fond, le Tribunal a retenu que la baisse de salaire de l'époux de la recourante constituait un changement de circonstances important et durable justifiant de modifier les pensions alimentaires fixées par arrêt de la Cour du 31 octobre 2017.</w:t>
      </w:r>
    </w:p>
    <w:p>
      <w:r>
        <w:t>- 8/9 -</w:t>
      </w:r>
    </w:p>
    <w:p>
      <w:r>
        <w:t>AC/4/2016 Cela étant, au moment du dépôt de la demande de modification par l'époux en date du 21 septembre 2018, son contrat de travail de durée déterminée était sur le point d'arriver à échéance et ses conditions de travail allaient être rediscutées avec son employeur, étant au demeurant relevé que la rétrogradation de l'intéressé pourrait très bien être temporaire, au vu des informations qui résultent du profil K______ de celui-ci et du site Internet de L______ SA, [filiale] D______, au mois d'octobre 2018. Par ailleurs, le salaire de l'époux de la recourante n'a fait qu'augmenter depuis qu'il est devenu conseiller de vente au mois de mai 2018 (passant d'environ 5'000 fr. en mai à 7'200 fr. en septembre) et il ne semble dès lors pas impossible, même s'il devait rester affecté à ce poste après le 31 décembre 2018, que son salaire atteigne rapidement un niveau équivalent à celui qu'il percevait en moyenne en tant que chef de vente (10'000 fr. environ), au vu des déclarations sur ce point de Madame I______, vice- directrice du département des ressources humaines de L______ SA. Prima facie, il ne semble donc pas dénué de probabilité que la Cour considère que le changement de circonstances invoqué par l'époux de la recourante ne revêt pas un caractère durable et n'est pas important au point de justifier, sur mesures provisionnelles, une modification des pensions alimentaires dues par l'intéressé. Compte tenu de ce qui précède, l'appel formé par la recourante ne semble, à première vue, pas dépourvu de chances de succès, contrairement à ce qu'a retenu le Vice- président du Tribunal civil. Par ailleurs, la condition d'indigence paraît remplie, dès lors que l'aide étatique a été octroyée à la recourante par décision du 10 octobre 2018 et qu'il semble peu probable que sa situation financière se soit améliorée dans l'intervalle. La décision querellée sera donc annulée et la recourante sera mise au bénéfice de l'assistance juridique pour la procédure d'appel contre l'ordonnance du Tribunal de première instance du 15 janvier 2019, avec effet au 23 janvier 2019.</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- 9/9 -</w:t>
      </w:r>
    </w:p>
    <w:p>
      <w:r>
        <w:t>AC/4/2016 PAR CES MOTIFS, LE VICE-PRESIDENT DE LA COUR : Préalablement : Ordonne l'apport de la procédure C/1______/2015. A la forme : Déclare recevable le recours formé par A______ contre la décision rendue le 20 février 2019 par le Vice-président du Tribunal civil dans la cause AC/4/2016. Au fond : Annule la décision entreprise et cela fait, statuant à nouveau : Met A______ au bénéfice de l'assistance juridique pour la procédure d'appel contre l'ordonnance OTPI/10/2019 du 15 janvier 2019. Nomme Me Sandy ZAECH, avocate, à cette fin. Déboute A______ de toutes autres conclusions. Dit qu'il n'est pas perçu de frais judiciaires pour le recours, ni alloué de dépens. Notifie une copie de la présente décision à A______ en l'Etude de Me Sandy ZAECH (art. 137 CPC). Siégeant : Monsieur Patrick CHENAUX, Vice-président; Madame Maïté VALENTE, greffière.</w:t>
      </w:r>
    </w:p>
    <w:p>
      <w:r>
        <w:t>Le Vice-président : Patrick CHENAUX</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