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DAAJ/63/2016 vom 6. April 2016</w:t>
      </w:r>
    </w:p>
    <w:p>
      <w:r>
        <w:t>GE Cour de justice, 2016-04-06, FR</w:t>
      </w:r>
    </w:p>
    <w:p>
      <w:r>
        <w:rPr>
          <w:b/>
        </w:rPr>
        <w:t xml:space="preserve">Quelle: </w:t>
      </w:r>
      <w:r>
        <w:t>https://mcp.opencaselaw.ch/entscheid/ge_gerichte_DAAJ_63_2016</w:t>
      </w:r>
    </w:p>
    <w:p>
      <w:r>
        <w:t>FR: GE_GERICHTE DAAJ/63/2016 du 6 avril 2016</w:t>
      </w:r>
    </w:p>
    <w:p>
      <w:r>
        <w:t>IT: GE_GERICHTE DAAJ/63/2016 del 6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- 5/7 -</w:t>
      </w:r>
    </w:p>
    <w:p>
      <w:r>
        <w:t>AC/2636/2011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représentent le temps de travail qui dépasse le temps de travail normalement convenu par le contrat, l'usage, par un contrat-type ou une convention collective (cf. art. 321c al. 1 CO). En application de l'art. 8 CC, il incombe au travailleur de prouver qu'il a effectué des heures supplémentaires et qu'elles ont été annoncées à l'employeur ou que celui-ci avait connaissance ou devait avoir connaissance de leur existence (ATF 129 III 171 ; WYLER, Droit du travail, 3ème édition, 2014, p. 102). Lorsque le travailleur parvient à prouver qu'il a effectué des heures supplémentaires sans être en mesure d'en établir le nombre exact, le juge pourra en faire l'estimation, par application analogique de l'art. 42 al. 2 CO (arrêts du Tribunal fédéral 4A_543/2011 du 17 octobre 2011 ; 4A_543/2011 du 15 juillet 2011), étant précisé que le travailleur doit tout de même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(ATF 128 III 271 = JdT 2003 I 606). Le juge doit se montrer strict dans le recours à l'art. 42 al. 2 CO, cette appréciation en équité ne devant être admise que si les circonstances le permettent, par exemple s'il est clairement prouvé, et non simplement rendu vraisemblable, que le travail excédait l'horaire normal dans une mesure déterminable (arrêt du Tribunal fédéral 4P.73/2003 du 18 juillet 2003 ; arrêt du 13 juin 2000 in JAR 2001 164). 2.2.2.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w:t>
      </w:r>
    </w:p>
    <w:p>
      <w:r>
        <w:t>- 6/7 -</w:t>
      </w:r>
    </w:p>
    <w:p>
      <w:r>
        <w:t>AC/2636/2011 pour digne de foi et il incombe au juge du fait d'apprécier sa force probante (arrêt du Tribunal fédéral 4A_181/2012 du 10 septembre 2012 consid. 3).</w:t>
      </w:r>
    </w:p>
    <w:p>
      <w:r>
        <w:rPr>
          <w:b/>
        </w:rPr>
        <w:t>E. 2.3</w:t>
      </w:r>
    </w:p>
    <w:p>
      <w:r>
        <w:t>En l'espèce, le recourant reproche au Tribunal d'avoir écarté le témoignage de son épouse, alors que selon lui, rien ne permettait de douter de la véracité de ses dires. Selon le recourant, les déclarations de son épouse étaient en outre confirmées par celles de deux témoins. Cela étant, il y a lieu de relever que les deux témoins auxquels se réfère le recourant n'ont aucunement été en mesure de détailler ses horaires. Par ailleurs, la circonstance que le seul témoignage qui semble pouvoir attester, à quelques différences près, des horaires allégués par le recourant est celui de son épouse permet objectivement d'envisager une convergence d'intérêts, de sorte qu'il ne paraît de prime abord pas arbitraire d'avoir considéré que ledit témoignage était dépourvu de force probante, ce d'autant plus que le témoin en question a admis avoir pris connaissance du dossier, y compris des procès-verbaux d'audience. S'il ressort bien des témoignages que le recourant se rendait chez ses anciens employeurs entre 8h00 et 8h30 pour leur petit-déjeuner, revenait chez eux vers 11h00 pour le repas de midi, en partait vers 14h00-14h30 pour y revenir vers 18h00 pour le repas du soir et ce, jusque vers 21h00, voire parfois 22h30-23h00, cela ne semble a priori pas suffisant, au regard des règles rappelées ci-dessus, pour déterminer si des heures supplémentaires ont été effectuées. Par ailleurs, dès lors qu'il a été définitivement jugé que les créances antérieures au 28 février 2007 étaient prescrites, les prétentions du recourant relatives à la différence de salaire alléguée par rapport au contrat-type de travail et à l'indemnité pour vacances non prises sont dénuées de toute chance de succès. Compte tenu de ce qui précède, c'est à bon droit que le Vice-président du Tribunal civil a refusé l'extension d'assistance juridique requise par le recourant. Partant, le recours, infondé, sera rejeté.</w:t>
      </w:r>
    </w:p>
    <w:p>
      <w:r>
        <w:rPr>
          <w:b/>
        </w:rPr>
        <w:t>E. 3</w:t>
      </w:r>
    </w:p>
    <w:p>
      <w:r>
        <w:t>Sauf exceptions non réalisées en l'espèce, il n'est pas perçu de frais judiciaires pour la procédure d'assistance juridique (art. 119 al. 6 CPC). * * * * *</w:t>
      </w:r>
    </w:p>
    <w:p>
      <w:r>
        <w:t>- 7/7 -</w:t>
      </w:r>
    </w:p>
    <w:p>
      <w:r>
        <w:t>AC/2636/2011 PAR CES MOTIFS, LE VICE-PRÉSIDENT DE LA COUR : A la forme : Déclare recevable le recours formé par A______ contre la décision rendue le 6 avril 2016 par le Vice-président du Tribunal civil dans la cause AC/2636/2011. Au fond : Le rejette.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