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DAAJ/63/2014 vom 15. Juli 2013</w:t>
      </w:r>
    </w:p>
    <w:p>
      <w:r>
        <w:t>GE Cour de justice, 2013-07-15, FR</w:t>
      </w:r>
    </w:p>
    <w:p>
      <w:r>
        <w:rPr>
          <w:b/>
        </w:rPr>
        <w:t xml:space="preserve">Quelle: </w:t>
      </w:r>
      <w:r>
        <w:t>https://mcp.opencaselaw.ch/entscheid/ge_gerichte_DAAJ_63_2014</w:t>
      </w:r>
    </w:p>
    <w:p>
      <w:r>
        <w:t>FR: GE_GERICHTE DAAJ/63/2014 du 15 juillet 2013</w:t>
      </w:r>
    </w:p>
    <w:p>
      <w:r>
        <w:t>IT: GE_GERICHTE DAAJ/63/2014 del 15 luglio 2013</w:t>
      </w:r>
    </w:p>
    <w:p>
      <w:pPr>
        <w:pStyle w:val="Heading2"/>
      </w:pPr>
      <w:r>
        <w:t>Erwägungen</w:t>
      </w:r>
    </w:p>
    <w:p>
      <w:r>
        <w:rPr>
          <w:b/>
        </w:rPr>
        <w:t>E. 1</w:t>
      </w:r>
    </w:p>
    <w:p>
      <w:r>
        <w:t>Il n'y a pas lieu de revenir sur la recevabilité de recours, qui avait été admise par la Vice-présidente de la Cour de justice dans sa précédente décision.</w:t>
      </w:r>
    </w:p>
    <w:p>
      <w:r>
        <w:rPr>
          <w:b/>
        </w:rPr>
        <w:t>E. 2</w:t>
      </w:r>
    </w:p>
    <w:p>
      <w:r>
        <w:t>Conformément à l'arrêt de renvoi du Tribunal fédéral (art. 107 al. 2 LTF), l'Autorité de céans traitera ci-après de l'ensemble des griefs de la recourante liés au refus de</w:t>
      </w:r>
    </w:p>
    <w:p>
      <w:r>
        <w:t>- 3/8 -</w:t>
      </w:r>
    </w:p>
    <w:p>
      <w:r>
        <w:t>AC/1640/2013 l'Assistance juridique de nommer d'office l'ASLOCA pour la représenter dans le cadre de son recours auprès de la CACJ.</w:t>
      </w:r>
    </w:p>
    <w:p>
      <w:r>
        <w:rPr>
          <w:b/>
        </w:rPr>
        <w:t>E. 3.1</w:t>
      </w:r>
    </w:p>
    <w:p>
      <w:r>
        <w:t>Aux termes de l'art. 9 de la loi sur la procédure administrative (ci-après : LPA ; entrée en vigueur le 1er janvier 1986),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L'aptitude à agir comme mandataire professionnellement qualifié dans une procédure administrative doit être examinée de cas en cas, au regard de la cause, ainsi que de la formation et de la pratique de celui qui entend représenter une partie à la procédure. Il convient de se montrer exigeant quant à la preuve de la qualification requise d'un mandataire aux fins de représenter une partie devant la chambre administrative, dans l'intérêt bien compris de celle-ci et de la bonne administration de la justice (ATF 125 I 166 consid. 2b/bb ; arrêt du Tribunal fédéral 1P.416/2004 du 28 septembre 2004 consid. 2.2, confirmant l'ATA/418/2004 du 18 mai 2004). Pour recevoir cette qualification, les mandataires doivent disposer de connaissances suffisantes dans le domaine du droit dans lequel ils prétendent être à même de représenter une partie (ATA/14/2013 du 8 janvier 2013 consid. 2b ; ATA/330/2005 du 10 mai 2005 consid. 1). D'après l'art. 10 al. 1 et 2 LPA, les avocats sont tenus, lorsqu'ils en sont requis, de représenter dans une procédure contentieuse portée devant une juridiction administrative une partie dont les revenus ou la fortune ne sont pas suffisants pour couvrir les frais d'une procédure.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L'art. 53 de l'ancien code de procédure administrative du 6 décembre 1968 prévoyait que les mandataires professionnellement qualifiés "inscrits au tableau" étaient également soumis à l'obligation d'accepter une défense d'office. Toutefois, cette extension a été supprimée par la suite, car un tel tableau des mandataires qualifiés n'avait jamais pu être élaboré et, finalement, un avocat présentait des garanties, sinon de bonne exécution de son mandat, du moins de connaissances de la portée de ses devoirs et obligations, qui ne pouvaient être exigées d'un autre mandataire (Mémorial des séances du Grand Conseil, 1968 p. 3027 et 3114/3115, 1978 p. 2364). Du reste, le commentaire du projet de loi prévoyant cette suppression indiquait expressément que celle-ci revenait à conférer un monopole aux avocats dans le domaine de l'assistance juridique (Mémorial, 1968 p. 1229/1230).</w:t>
      </w:r>
    </w:p>
    <w:p>
      <w:r>
        <w:t>- 4/8 -</w:t>
      </w:r>
    </w:p>
    <w:p>
      <w:r>
        <w:t>AC/1640/2013</w:t>
      </w:r>
    </w:p>
    <w:p>
      <w:r>
        <w:rPr>
          <w:b/>
        </w:rPr>
        <w:t>E. 3.2</w:t>
      </w:r>
    </w:p>
    <w:p>
      <w:r>
        <w:t>Selon l'art. 10 al. 4 LPA, les dispositions réglementaires édictées par le Conseil d'État en matière d'assistance juridique s'appliquent pour le surplus. D'après l'art. 12 du règlement sur l'assistance juridique et l'indemnisation des conseils juridiques et défenseurs d'office en matière civile, administrative et pénale (RAJ), entré en vigueur le 1er janvier 2011, le conseil juridique peut être un avocat ou un mandataire professionnellement qualifié au sens de l'article 15 de la loi d'application du code civil suisse et d'autres lois fédérales en matière civile (LaCC), du 11 octobre 2012. L'art. 15 LaCC dispose que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L'art. 15 LaCC fait lui-même implicitement référence à l'art. 68 al. 2 let. d CPC, lequel autorise les mandataires professionnellement qualifiés à représenter les parties à titre professionnel devant les juridictions spéciales en matière de contrat de bail et de contrat de travail.</w:t>
      </w:r>
    </w:p>
    <w:p>
      <w:r>
        <w:rPr>
          <w:b/>
        </w:rPr>
        <w:t>E. 3.3</w:t>
      </w:r>
    </w:p>
    <w:p>
      <w:r>
        <w:t>Les dispositions réglementaires ne sauraient déroger aux règles cantonales de rang supérieur, ce qui s'impose tant au regard du principe de la hiérarchie des normes que de celui de la séparation des pouvoirs (ATF 129 V 335 consid. 3.3).</w:t>
      </w:r>
    </w:p>
    <w:p>
      <w:r>
        <w:rPr>
          <w:b/>
        </w:rPr>
        <w:t>E. 3.4</w:t>
      </w:r>
    </w:p>
    <w:p>
      <w:r>
        <w:t>Il n'y a rien d'arbitraire à interpréter une disposition légale selon son texte clair (ATF 125 I 161 consid. 3c). L'interprétation de la loi peut conduire à la constatation d'une lacune.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(ATF 135 IV 113 consid. 2.4 p. 116). En d'autres termes, il y a lacune occulte lorsque le silence de la loi est contraire à son économie (ATF 117 II 494 consid. 6a p. 499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139 I 57 consid. 5.2).</w:t>
      </w:r>
    </w:p>
    <w:p>
      <w:r>
        <w:t>- 5/8 -</w:t>
      </w:r>
    </w:p>
    <w:p>
      <w:r>
        <w:t>AC/1640/2013 3.5.1. En l'espèce, l'art. 10 LPA, qui traite de l'assistance juridique en matière administrative, ne mentionne que les avocats, à l'exclusion, notamment, des mandataires professionnellement qualifiés mentionnés à l'art. 9 de la même loi. Il semble que le législateur a ainsi consciemment fait le choix d'exclure ces derniers des conseils juridiques tenus d'accepter une défense d'office, quand bien même ils ont la possibilité de représenter un justiciable devant les autorités administratives. Rien ne permet de retenir un oubli du législateur. Déjà bien avant l'entrée en vigueur du CPC, la LPA prévoyait que les justiciables pouvaient être représentés par un mandataire professionnellement qualifié dans une procédure administrative. Cela n'a pourtant pas eu pour conséquence que ceux-ci pouvaient être nommés d'office et rémunérés par l'État pour leurs services. S'il peut apparaître contradictoire de prévoir que les mandataires professionnellement qualifiés puissent désormais être nommés d'office dans certains domaines spécifiques en matière civile mais jamais en matière administrative, une telle contradiction ne suffit cependant pas à retenir que la solution adoptée par l'organe législatif genevois est lacunaire ou arbitraire. En effet, il n'est pas insoutenable de retenir que les considérations ayant mené à la suppression des mandataires professionnellement qualifiés dans la liste des conseils juridiques tenus d'accepter une défense d'office dans le cadre d'une procédure administrative restent valables. Le fait que cette question n'ait, selon les travaux préparatoires, pas été débattue au moment de l'adaptation de la LPA à l'entrée en vigueur du CPC ne change rien à cette appréciation. En matière civile, l'exception à la représentation des parties en justice par des avocats a été limitée à des domaines spécifiques (soit en matière de procès sociaux), pour lesquels la notion de mandataires professionnellement qualifiés est aisément délimitée (association de locataires et de propriétaires immobiliers en matière de baux et loyers, syndicats et associations patronales en matière prud'homale). La notion de mandataire professionnellement qualifié est beaucoup plus large en matière administrative, dans la mesure où peuvent être considérés comme tels notamment des architectes, des fiduciaires, ou certaines associations. Comme cela a été rappelé ci-dessus, la qualité de mandataire professionnellement qualifié en procédure administrative doit être examinée de cas en cas, afin de protéger les intérêts du justiciable et de garantir le bon fonctionnement de la justice. À défaut de pouvoir établir un tableau listant les mandataires auxquels cette qualité est reconnue, il se justifie de les exclure des conseils juridiques pouvant être nommés d'office en procédure administrative. Compte tenu de ce qui précède, il n'est pas arbitraire de soutenir que l'absence de mention des mandataires professionnellement qualifiés à l'art. 10 al. 2 LPA ne constitue pas une lacune. Il est donc assurément permis de considérer l'énumération prévue à l'art. 10 al. 2 LPA comme exhaustive. 3.5.2. Au regard du principe de la hiérarchie des normes, l'art. 10 LPA prime le RAJ.</w:t>
      </w:r>
    </w:p>
    <w:p>
      <w:r>
        <w:t>- 6/8 -</w:t>
      </w:r>
    </w:p>
    <w:p>
      <w:r>
        <w:t>AC/1640/2013 En conséquence, le fait que les art. 13 et 18 RAJ fassent référence à la notion de "conseil juridique", qui englobe tant les avocats que les mandataires professionnellement qualifiés au sens de la LaCC (cf. art. 12 RAJ), ne permet pas de déduire qu'un tel mandataire puisse être nommé d'office et rémunéré par l'État pour une procédure administrative. Pour le surplus, le fait que l'art. 18 RAJ, relatif à la taxation des conseils juridiques en matière d'assistance juridique civile et administrative, ne mentionne pas la matière pénale n'est pas pertinent, dans la mesure où la question de l'indemnisation du défenseur pénal est régie par le Code de procédure pénale (art. 135 CPP). Le titre de l'art. 18 RAJ ne constitue donc, dans tous les cas, pas un élément permettant de retenir que les mandataires professionnellement qualifiés puissent être nommés d'office pour une procédure administrative. 3.5.3. Compte tenu de ce qui précède, la législation genevoise ne permet pas que l'ASLOCA (ou un employé de l'ASLOCA) soit désignée d'office et rémunérée par l'État dans le cadre d'une procédure administrative.</w:t>
      </w:r>
    </w:p>
    <w:p>
      <w:r>
        <w:rPr>
          <w:b/>
        </w:rPr>
        <w:t>E. 4</w:t>
      </w:r>
    </w:p>
    <w:p>
      <w:r>
        <w:t>Il convient donc d'examiner si une telle prétention se laisse néanmoins déduire directement de l'art. 40 al. 4 (recte : 40 al. 3) Cst./GE, de la Constitution fédérale ou de la CEDH.</w:t>
      </w:r>
    </w:p>
    <w:p>
      <w:r>
        <w:rPr>
          <w:b/>
        </w:rPr>
        <w:t>E. 4.1</w:t>
      </w:r>
    </w:p>
    <w:p>
      <w:r>
        <w:t>Selon l'art. 40 al. 3 Cst./GE, toute personne qui ne dispose pas de ressources suffisantes a droit à l'assistance juridique gratuite pour autant que sa cause ne paraisse pas dépourvue de toute chance de succès.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6 CEDH n'offre pas davantage de droits en la matière (Bernard CORBOZ, Le droit constitutionnel à l'assistance judiciaire in SJ 2003 II p. 71 et les références). Le droit à l'assistance judiciaire, tel qu'il découle de l'art. 4 aCst. (art. 29 al. 3 Cst.), n'accorde pas au plaideur un droit inconditionnel au choix de son défenseur (ATF 114 Ia 101 consid. 3 et l'arrêt cité). La jurisprudence a admis qu'il n'était pas contraire à la garantie minimale déduite de l'art. 4 aCst. (art. 29 al. 3 Cst.) de ne désigner en principe comme défenseur d'office que des avocats inscrits au tableau cantonal (SJ 1998 p. 189 consid. 3). Le fait qu'un plaideur puisse mandater à titre privé une personne non inscrite au tableau pour le représenter devant les tribunaux dans les domaines qui échappent au monopole des avocats inscrits ne signifie pas à lui seul qu'une telle personne puisse être nommée d'office (SJ 1998 p. 189 consid. 3c in fine). La garantie constitutionnelle minimale tend uniquement à assurer aux indigents la défense efficace de leurs droits en justice ; la législation cantonale ne porte pas atteinte à ce droit en décidant que ne</w:t>
      </w:r>
    </w:p>
    <w:p>
      <w:r>
        <w:t>- 7/8 -</w:t>
      </w:r>
    </w:p>
    <w:p>
      <w:r>
        <w:t>AC/1640/2013 peuvent être désignées comme mandataires d'office que des personnes ayant justifié de connaissances suffisantes lors d'un examen étatique approprié (ATF 125 I 164 consid. 3b).</w:t>
      </w:r>
    </w:p>
    <w:p>
      <w:r>
        <w:rPr>
          <w:b/>
        </w:rPr>
        <w:t>E. 4.2</w:t>
      </w:r>
    </w:p>
    <w:p>
      <w:r>
        <w:t>En l'espèce, le fait que la législation genevoise ne prévoie pas la possibilité qu'un mandataire professionnellement qualifié soit nommé d'office en procédure administrative ne viole pas les art. 29 Cst., 40 Cst./GE, ni la CEDH, étant relevé que l'art. 6 par. 3 let. c CEDH invoqué par la recourante ne concerne que l'accusé au pénal. Comme cela a été exposé ci-dessus, le refus de nommer d'office l'ASLOCA pour une procédure administrative respecte le principe de la légalité. Le fait que, dans une procédure administrative, le justiciable a, selon les cas, le droit de se faire représenter par un mandataire professionnellement qualifié de son choix ne lui confère aucun droit inconditionnel à ce que ce mandataire soit nommé d'office et rémunéré par l'État. Il y a lieu de relever que, dans certains cas, des justiciables recourent aux services d'un mandataire qu'ils considèrent comme qualifié, mais que cette qualité est finalement déniée à ce dernier par les juridictions administratives. L'intérêt public prépondérant réside dans la qualité des services à offrir à la population, les justiciables devant être protégés et le bon fonctionnement des tribunaux assuré, objectifs ne pouvant être atteints que par la représentation en justice par des personnes suffisamment formées. Le fait que des avocats-stagiaires puissent également être nommés d'office respecte cet intérêt, dès lors qu'ils œuvrent sous la supervision de leur maître de stage. En conséquence, la limitation prévue par l'art. 10 al. 2 LPA n'est pas disproportionnée. Pour le surplus, l'on ne voit pas en quoi le fait qu'un justiciable sollicitant l'assistance juridique doive être représenté par un avocat pour une procédure administrative heurterait le sentiment de justice. Du point de vue de l'obligation de remboursement de l'aide étatique, le fait de nommer un avocat au lieu d'un mandataire professionnellement qualifié n'a pas nécessairement d'incidence sur le montant à rembourser. En effet, dans le RAJ (art. 16. RAJ), le tarif d'un avocat collaborateur est identique au tarif prévu pour les mandataires professionnellement qualifiés et il est douteux, contrairement à ce qu'allègue la recourante, qu'un avocat soit moins efficace et efficient qu'un tel mandataire pour représenter les intérêts d'un justiciable. Le refus de nommer d'office l'ASLOCA n'est donc pas arbitraire dans son résultat. En tout état, du moment que la recourante a la possibilité de demander la désignation d'un avocat comme défenseur d'office, le refus de nommer l'ASLOCA ne lèse pas ses droits constitutionnels en matière d'assistance juridique (cf. sur ce point arrêt du Tribunal fédéral 2C_241/2008 du 27 mai 2008 consid. 5.3).</w:t>
      </w:r>
    </w:p>
    <w:p>
      <w:r>
        <w:t>- 8/8 -</w:t>
      </w:r>
    </w:p>
    <w:p>
      <w:r>
        <w:t>AC/1640/2013</w:t>
      </w:r>
    </w:p>
    <w:p>
      <w:r>
        <w:rPr>
          <w:b/>
        </w:rPr>
        <w:t>E. 5</w:t>
      </w:r>
    </w:p>
    <w:p>
      <w:r>
        <w:t>Sauf exceptions non réalisées en l'espèce, il n'est pas perçu de frais judiciaires pour la procédure d'assistance juridique (art. 119 al. 6 CPC). * * * * *</w:t>
      </w:r>
    </w:p>
    <w:p>
      <w:r>
        <w:t>PAR CES MOTIFS, LE VICE-PRÉSIDENT DE LA COUR :</w:t>
      </w:r>
    </w:p>
    <w:p>
      <w:r>
        <w:t>Statuant sur renvoi du Tribunal fédéral : Rejette le recours formé par A______ contre la décision rendue le 15 juillet 2013 par la Vice- présidente du Tribunal civil dans la cause AC/1640/2013, en tant qu'il porte sur la nomination d'office de l'ASLOCA. Déboute A______ de toutes autres conclusions. Dit qu'il n'est pas perçu de frais judiciaires. Notifie une copie de la présente décision à A______ représentée par l'ASLOCA (art. 137 CPC). Siégeant : Monsieur Jean-Marc STRUBIN, vice-président ; Monsieur Jacques GUERTLER, greffier.</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