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DAAJ/60/2017 vom 12. April 2017</w:t>
      </w:r>
    </w:p>
    <w:p>
      <w:r>
        <w:t>GE Cour de justice, 2017-04-12, FR</w:t>
      </w:r>
    </w:p>
    <w:p>
      <w:r>
        <w:rPr>
          <w:b/>
        </w:rPr>
        <w:t xml:space="preserve">Quelle: </w:t>
      </w:r>
      <w:r>
        <w:t>https://mcp.opencaselaw.ch/entscheid/ge_gerichte_DAAJ_60_2017</w:t>
      </w:r>
    </w:p>
    <w:p>
      <w:r>
        <w:t>FR: GE_GERICHTE DAAJ/60/2017 du 12 avril 2017</w:t>
      </w:r>
    </w:p>
    <w:p>
      <w:r>
        <w:t>IT: GE_GERICHTE DAAJ/60/2017 del 12 aprile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w:t>
      </w:r>
    </w:p>
    <w:p>
      <w:r>
        <w:t>3.1.1 Reprenant l'art. 29 al. 3 Cst., l'art. 117 CPC prévoit que toute personne qui ne dispose pas de ressources suffisantes a droit à l'assistance judiciaire à moins que sa cause paraisse dépourvue de toute chance de succès.</w:t>
      </w:r>
    </w:p>
    <w:p>
      <w:r>
        <w:t>- 4/7 -</w:t>
      </w:r>
    </w:p>
    <w:p>
      <w:r>
        <w:t>AC/4/2016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L'absence de chances de succès peut résulter des faits ou du droit. L'assistance sera refusée s'il apparaît d'emblée que les faits pertinents allégués sont invraisemblables ou ne pourront pas être prouvés (arrêt du Tribunal fédéral 4A_614/2015 du 25 avril 2016 consid. 3.2). 3.2.1 Pendant la procédure de divorce, lorsque la suspension de la vie commune est fondée, le juge fixe, à la requête de l'un des conjoints, la contribution pécuniaire à verser par l'une des parties à l'autre (art. 176 al. 1 ch. 1 CC). Le montant de la contribution d'entretien se détermine en fonction des facultés économiques et des besoins respectifs des époux, ceux-ci pouvant prétendre à participer d'une manière identique au train de vie antérieur (art. 163 CC; TF, 5A_401/2013 du 2 août 2013 consid. 5.1.1). La détermination de la contribution d'entretien relève du pouvoir d'appréciation du juge, qui applique les règles du droit et de l'équité (art. 4 CC). L'une des méthodes préconisées par la doctrine et considérée comme conforme au droit fédéral en cas de situations financières modeste ou moyenne et tant que dure le mariage, est celle dite du minimum vital, avec répartition de l'excédent. Elle consiste à évaluer d'abord les ressources des époux, y compris d'éventuels revenus hypothétiques, puis à calculer leurs charges en se fondant sur l'allocation de base du droit des poursuites, élargie des dépenses incompressibles, enfin à répartir le montant disponible restant à parts égales entre eux, cette égalité étant toutefois relativisée pour prendre en considération, notamment, la participation d'éventuels enfants communs à l'excédent (ATF 126 III 8 consid. 3c; arrêt du Tribunal fédéral 5A_501/2011 du 2 mai 2012 consid. 3.1). 3.2.2 L'entretien de l'enfant est assuré par les soins, l'éducation et les prestations pécuniaires (art. 276 al. 1 CC, par renvoi de l’art. 176 al. 3 CC). Les père et mère contribuent ensemble, chacun selon ses facultés, à l'entretien convenable de l'enfant et assument en particulier les frais de sa prise en charge, de son éducation, de sa formation et des mesures prises pour le protéger (art. 276 al. 2 CC).</w:t>
      </w:r>
    </w:p>
    <w:p>
      <w:r>
        <w:t>- 5/7 -</w:t>
      </w:r>
    </w:p>
    <w:p>
      <w:r>
        <w:t>AC/4/2016 Sous l’ancien droit comme sous le nouveau droit sur les effets de la filiation – entré en vigueur au 1er janvier 2017 et applicable aux procédures en cours (art. 13c bis du titre final CC) – la contribution d’entretien doit correspondre aux besoins de l'enfant ainsi qu'à la situation et aux ressources de ses père et mère (art. 285 al. 1 aCC et 285 al. 1 CC). Depuis le 1er janvier 2017, la contribution à fixer en faveur de l'enfant est également destinée à garantir la prise en charge de l'enfant par les parents et les tiers (art. 285 al. 2 CC).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qui pourra ensuite être augmenté en fonction des circonstances spéciales du cas d'espèce (Message, p. 556 s.; HELLER, Betreuungsunterhalt &amp; Co. – Unterhaltsberechnung ab 1. Januar 2017, Anwaltsrevue 2016, p. 465; STOUDMANN, Le nouveau droit de l'entretien de l'enfant en pratique, RMA 2016, p. 432). La loi ne prescrit pas de méthode de calcul particulière pour arrêter la contribution d'entretien (ATF 128 III 411 consid. 3.2.2; arrêt du Tribunal fédéral 5A_819/2016 du 21 février 2017 consid. 9.3.2.1). Sa fixation relève de l'appréciation du juge, qui applique les règles du droit et de l'équité (art. 4 CC; ATF 127 III 136 consid. 3a; arrêt du Tribunal fédéral 5A_819/2016 précité, consid. 9.3.2.1). L'obligation d'entretien des parents dure jusqu'à la majorité de l'enfant (art. 277 CC). Tel n'est toutefois pas nécessairement le cas de la contribution de prise en charge. Celle-ci s'arrête en principe lorsque l'enfant n'a plus besoin d'être pris en charge (Message, p. 558; STOUDMANN, op. cit., p. 438). Depuis l’entrée en vigueur du nouveau droit, la contribution à l'entretien de l'enfant mineur est prioritaire sur celle du conjoint (article 276a al. 1 CC). 3.2.3 La contribution de prise en charge de l’art. 285 al. 2 CC n’a pour but que d’assurer l’entretien convenable du parent qui ne travaille pas pour s’occuper de l’enfant. Or, l’époux a en principe droit au maintien de son niveau de vie mené durant le mariage, au besoin par le truchement d’une contribution d’entretien après divorce au sens de l’art. 125 CC. Ce n’est donc qu’ensemble que la contribution de prise en charge de l’art. 285 al. 2 CC et la contribution d’entretien après le divorce équivaudront à la contribution d’entretien après le divorce selon le droit en vigueur jusqu’au 31 décembre 2016 (STOUDMANN, op. cit., p. 442). Dès lors, une augmentation de la prétention en entretien de l’ex-conjoint (art. 125 CC) peut être prévue à la fin de la contribution de prise en charge (art. 285 al. 2 CC) afin que l’époux conserve, si les conditions sont remplies, son train de vie après la majorité de l’enfant.</w:t>
      </w:r>
    </w:p>
    <w:p>
      <w:r>
        <w:t>- 6/7 -</w:t>
      </w:r>
    </w:p>
    <w:p>
      <w:r>
        <w:t>AC/4/2016 3.3.1 En l'espèce, au vu de l’entrée en vigueur du nouveau droit, c’est a priori à juste titre que le Tribunal a procédé dans un premier temps au calcul de l’entretien de l’enfant dès lors que celui-ci est prioritaire à celui de la recourante. Il a inclus les charges incompressibles de la recourant au titre de frais de la prise en charge de l’enfant, ce qui est prima facie conforme au nouveau droit. La recourante fait valoir qu’une telle inclusion de ses charges dans la contribution de l’enfant la privera de tout revenu lorsque l’enfant n’aura plus droit à une contribution à son entretien. Dès lors que la décision litigieuse a été rendue sur mesures provisionnelles, soit pour la durée de la procédure, et que l’enfant est actuellement âgé de 13 ans, la question d’une contribution propre pour la recourante ne se pose pas en l’état. En effet, il est certain que la contribution due à l’enfant lui sera servie jusqu’à l’issue de la procédure. Enfin, l’argument de la recourante selon lequel la décision sur mesures provisoires préfigurera la décision au fond et qu’elle sera ainsi privée d’une contribution propre dans le jugement de divorce ne repose sur aucun fondement. La recourante pourra en effet prendre des conclusions au fond en versement d’une contribution d’entretien pour elle-même pour la période qui suivra la cessation d’une contribution à l’entretien de l’enfant. 3.3.2 En revanche, c’est a priori à juste titre que la recourante reproche au Tribunal de ne pas l’avoir fait, ainsi que l’enfant, bénéficier d’une partie de l’excédent de son époux puisque, à tout le moins sur mesures provisionnelles, ils ont en principe le droit de prétendre au maintien de leur train de vie antérieur. Dès lors, l’appel formé par la recourante contre la décision sur mesures provisionnelles ne semble pas dénuée de chances de succès à cet égard. Par conséquent, le recours sera admis et la décision querellée sera annulée. La condition de l'indigence paraissant réalisée, notamment au vu de l'octroi de l'aide étatique à la recourante pour la procédure de première instance, l'extension d'assistance juridique sollicitée sera en conséquence octroyée, avec effet au 31 mars 2017, date du dépôt de la demande.</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w:t>
      </w:r>
    </w:p>
    <w:p>
      <w:r>
        <w:t>- 7/7 -</w:t>
      </w:r>
    </w:p>
    <w:p>
      <w:r>
        <w:t>AC/4/2016 PAR CES MOTIFS, LE VICE-PRÉSIDENT DE LA COUR : A la forme : Déclare recevable le recours formé par A______ contre la décision rendue le 12 avril 2017 par la Vice-présidente du Tribunal civil dans la cause AC/4/2016. Au fond : Annule la décision entreprise. Cela fait et statuant à nouveau : Octroie l'assistance juridique à A______ pour la procédure d'appel contre l’ordonnance sur mesures provisionnelles OTPI/142/2017 du 24 mars 2017, avec effet au 31 mars 2017. Déboute A______ de toutes autres conclusions. Dit qu'il n'est pas perçu de frais judiciaires pour le recours, ni alloué de dépens. Notifie une copie de la présente décision à A______ en l'Étude de Me Sandy ZAECH (art. 137 CPC). Siégeant : Monsieur Patrick CHENAUX, vice-président; Monsieur David VAZQUEZ, commis-greffier.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