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DAAJ/5/2025 vom 20. September 2024</w:t>
      </w:r>
    </w:p>
    <w:p>
      <w:r>
        <w:t>GE Cour de justice, 2024-09-20, FR</w:t>
      </w:r>
    </w:p>
    <w:p>
      <w:r>
        <w:rPr>
          <w:b/>
        </w:rPr>
        <w:t xml:space="preserve">Quelle: </w:t>
      </w:r>
      <w:r>
        <w:t>https://mcp.opencaselaw.ch/entscheid/ge_gerichte_DAAJ_5_2025</w:t>
      </w:r>
    </w:p>
    <w:p>
      <w:r>
        <w:t>FR: GE_GERICHTE DAAJ/5/2025 du 20 septembre 2024</w:t>
      </w:r>
    </w:p>
    <w:p>
      <w:r>
        <w:t>IT: GE_GERICHTE DAAJ/5/2025 del 20 settembre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- 4/7 -</w:t>
      </w:r>
    </w:p>
    <w:p>
      <w:r>
        <w:t>AC/2177/2024</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w:t>
      </w:r>
    </w:p>
    <w:p>
      <w:r>
        <w:t>- 5/7 -</w:t>
      </w:r>
    </w:p>
    <w:p>
      <w:r>
        <w:t>AC/2177/2024 de manière suffisante des données individuelles du cas d'espèce (ATF 141 III 369 consid. 4.1; ATF 124 I 1 consid. 2a). Les frais relatifs à la scolarité obligatoire d'un enfant dans une école privée ne doivent être retenus que pour l'année scolaire en cours, ceci afin de permettre au débiteur d'entreprendre dans les délais les démarches nécessaires pour inscrire son enfant à l'école publique (ATF 119 III 70 consid. 3b). L'octroi de l'assistance juridique ne doit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Il conviendra de tenir compte, le cas échéant, de la nécessité où le requérant se trouve d'agir dans un délai relativement court, qui ne lui permet pas de faire des économies en vue d'avancer les frais du procès (ATF 135 I 221 consid. 5.1).</w:t>
      </w:r>
    </w:p>
    <w:p>
      <w:r>
        <w:rPr>
          <w:b/>
        </w:rPr>
        <w:t>E. 3.2</w:t>
      </w:r>
    </w:p>
    <w:p>
      <w:r>
        <w:t>En l'espèce, la recourante reproche à l'autorité de première instance d'avoir refusé sa demande d'assistance juridique, alors que l'aide étatique (limitée à la prise en charge des frais judiciaires) lui avait été accordée dans le cadre de la procédure de mesures protectrices de l'union conjugale. Elle soutient que sa situation financière s'est péjorée par rapport à celle qui prévalait à l'époque de la procédure précitée et qu'il ne peut être exigé d'elle qu'elle adapte davantage son train de vie. Ses moyens financiers étant limités par les obligations auxquelles elle doit faire face, l'aide étatique devrait au moins lui être accordée pour la prise en charge des frais judiciaires de la procédure de divorce. La recourante ne peut être suivie. Comme indiqué par l'autorité de première instance, l'assistance juridique avait été accordée à la précitée pour la procédure de mesures protectrices car une avance de frais de plusieurs dizaines de milliers de francs avait été exigée d'elle pour une expertise. Or, son disponible mensuel ne lui permettait pas de s'en</w:t>
      </w:r>
    </w:p>
    <w:p>
      <w:r>
        <w:t>- 6/7 -</w:t>
      </w:r>
    </w:p>
    <w:p>
      <w:r>
        <w:t>AC/2177/2024 acquitter dans un court délai. Dans le cadre de la procédure de divorce, la recourante a d'ores et déjà été en mesure de s'acquitter de plusieurs avances de frais, totalisant 6'830 fr. Il n'est pas allégué qu'une avance de frais dépassant son disponible mensuel aurait été exigé d'elle. Pour le surplus, même en établissant le budget de la recourante de manière plus large que l'autorité de première instance, soit en admettant le remboursement allégué des frais d'avocats liés à la procédure de mesures protectrices (à hauteur de 4'638 fr. par mois), ainsi que l'écolage privé des enfants (à concurrence de 690 fr. par mois pour les deux enfants), le disponible mensuel du ménage de la recourante s'élèverait encore à environ 3'270 fr. (15'712 fr. de revenus – [7'114 fr. 50 + 4'638 fr. + 690 fr.]). Ce disponible mensuel semble a priori suffisant pour permettre à la recourante d'amortir les frais judiciaires prévisibles ainsi que ses frais d'avocat en deux ans sans porter atteinte à son minimum vital. En effet, à supposer que les frais de procédure seront du même ordre que ceux de la procédure de séparation, ils se monteront à environ 76'000 fr., répartis par moitié entre les époux, ce qui reviendrait à 38'000 fr. chacun. Compte tenu des 6'830 fr. d'avances dont la recourante s'est d'ores et déjà acquittée, un solde de 31'170 fr. serait encore mis à sa charge. Ainsi, en économisant durant vingt-quatre mois (24 x 3'270 fr. = 78'480 fr.), la recourante serait en mesure d'assumer le solde des frais de procédure qui pourraient être mis à sa charge au terme de celle-ci, ainsi que les honoraires de son avocat. C'est donc à juste titre que l'autorité de première instance a considéré que la recourante ne remplissait pas la condition d'indigence. Partant, le recours, infondé, sera rejeté.</w:t>
      </w:r>
    </w:p>
    <w:p>
      <w:r>
        <w:rPr>
          <w:b/>
        </w:rPr>
        <w:t>E. 4</w:t>
      </w:r>
    </w:p>
    <w:p>
      <w:r>
        <w:t>Sauf exceptions non réalisées en l'espèce, il n'est pas perçu de frais judiciaires pour la procédure d'assistance juridique (art. 119 al. 6 CPC). * * * * *</w:t>
      </w:r>
    </w:p>
    <w:p>
      <w:r>
        <w:t>- 7/7 -</w:t>
      </w:r>
    </w:p>
    <w:p>
      <w:r>
        <w:t>AC/2177/2024</w:t>
      </w:r>
    </w:p>
    <w:p>
      <w:r>
        <w:t>PAR CES MOTIFS, LA VICE-PRÉSIDENTE DE LA COUR : A la forme : Déclare recevable le recours formé le 7 octobre 2024 par A______ contre la décision rendue le 20 septembre 2024 par la vice-présidence du Tribunal civil dans la cause AC/2177/2024.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