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DAAJ/5/2016 vom 21. Oktober 2015</w:t>
      </w:r>
    </w:p>
    <w:p>
      <w:r>
        <w:t>GE Cour de justice, 2015-10-21, FR</w:t>
      </w:r>
    </w:p>
    <w:p>
      <w:r>
        <w:rPr>
          <w:b/>
        </w:rPr>
        <w:t xml:space="preserve">Quelle: </w:t>
      </w:r>
      <w:r>
        <w:t>https://mcp.opencaselaw.ch/entscheid/ge_gerichte_DAAJ_5_2016</w:t>
      </w:r>
    </w:p>
    <w:p>
      <w:r>
        <w:t>FR: GE_GERICHTE DAAJ/5/2016 du 21 octobre 2015</w:t>
      </w:r>
    </w:p>
    <w:p>
      <w:r>
        <w:t>IT: GE_GERICHTE DAAJ/5/2016 del 21 ottobre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- 4/7 -</w:t>
      </w:r>
    </w:p>
    <w:p>
      <w:r>
        <w:t>AC/164/2015 recourant de motiver en droit son recours et de démontrer l'arbitraire des faits retenus par l'instance inférieure (HOHL, Procédure civile, tome II, 2ème éd., n. 2513-2515).</w:t>
      </w:r>
    </w:p>
    <w:p>
      <w:r>
        <w:rPr>
          <w:b/>
        </w:rPr>
        <w:t>E. 2.1</w:t>
      </w:r>
    </w:p>
    <w:p>
      <w:r>
        <w:t>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 Il comprend également le droit pour le justiciable de fournir des preuves quant aux faits de nature à influer sur la décision (ATF 135 II 286 consid. 5.1 ; 135 I 187 consid. 2.20 ; 129 II 497 consid. 2.2).</w:t>
      </w:r>
    </w:p>
    <w:p>
      <w:r>
        <w:rPr>
          <w:b/>
        </w:rPr>
        <w:t>E. 2.2</w:t>
      </w:r>
    </w:p>
    <w:p>
      <w:r>
        <w:t>En l'occurrence, le grief tiré d'une prétendue violation du droit d'être entendu est dénué de fondement, dès lors que le Vice-président du Tribunal civil a obtenu tous les documents nécessaires pour statuer sur la requête d'assistance juridique en sollicitant l'apport de la procédure au fond (cf. art. 8 RAJ), de sorte qu'il ne lui était pas nécessaire de requérir des pièces supplémentaires de la part du recourant.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t>- 5/7 -</w:t>
      </w:r>
    </w:p>
    <w:p>
      <w:r>
        <w:t>AC/164/2015</w:t>
      </w:r>
    </w:p>
    <w:p>
      <w:r>
        <w:rPr>
          <w:b/>
        </w:rPr>
        <w:t>E. 3.2</w:t>
      </w:r>
    </w:p>
    <w:p>
      <w:r>
        <w:t>Aux termes de l'art. 266g CO, si, pour de justes motifs, l'exécution du contrat devient intolérable pour une partie, celle-ci peut résilier le bail à n'importe quel moment, en observant le délai légal de congé. Les justes motifs doivent représenter des circonstances exceptionnelles d'une certaine gravité, inconnues et imprévisibles lors de la conclusion du contrat, qui rendent la poursuite du bail intolérable et qui ne résultent pas d'une faute de la partie qui s'en prévaut (LACHAT, Commentaire romand du Code des obligations I, 2ème éd., 2012, ad art. 266g, n. 1). Selon l'art. 15 du Règlement fixant les conditions de location des logements de la Ville de Genève du 18 février 2009 (LC 21 531), dans les limites prévues par le Code des obligations, le bail d'un logement à caractère social peut notamment être résilié par la Ville de Genève, de manière anticipée ou pour l'échéance contractuelle: si le locataire ne remplit plus les conditions d'octroi du logement au sens de l'article 4 (let. d) ou si le locataire sous-loue indûment le logement (let. e). L'art. 4 du Règlement prévoit entre autres que le logement sollicité doit être le domicile principal du candidat et de toutes les personnes faisant ménage commun avec lui. Les logements à caractère social de la Ville de Genève sont destinés aux personnes et aux familles qui en ont le plus besoin, raison pour laquelle la sous-location totale ou partielle des locaux est, en règle générale, réputée présenter pour le bailleur des inconvénients majeurs, notamment quant à l'application du règlement, et n'est par conséquent pas autorisée (art. 8 du Règlement).</w:t>
      </w:r>
    </w:p>
    <w:p>
      <w:r>
        <w:rPr>
          <w:b/>
        </w:rPr>
        <w:t>E. 3.3</w:t>
      </w:r>
    </w:p>
    <w:p>
      <w:r>
        <w:t>En l'espèce, le fait que la fille du recourant soit scolarisée juste à côté de l'appartement qui fait l'objet du contrat de bail avec la Ville de Genève ne suffit pas à rendre vraisemblable que ce dernier et sa fille vivaient effectivement dans ce logement. Au contraire, au vu des propres déclarations du recourant retranscrites dans l'ordonnance pénale du 24 septembre 2014, le Vice-président du Tribunal civil pouvait, sans consacrer d'arbitraire, retenir que le recourant n'occupe plus ce logement, étant relevé que l'opposition – au demeurant tardive – formée par celui-ci contre ladite ordonnance n'est pas susceptible de mettre en doute cette appréciation. Par ailleurs, compte tenu de sa situation financière et du fait qu'il semble vivre ailleurs, il paraît a priori peu crédible que le recourant ait mis son logement à disposition de tiers gratuitement. Quoi qu'il en soit, il ne semble à première vue pas insoutenable que la mise à disposition d'un logement à caractère social à des personnes se trouvant illégalement en Suisse soit de nature à représenter des inconvénients majeurs pour la bailleresse. Les arguments invoqués par le recourant pour contester le congé fondé sur l'art. 266g CO semblent donc voués à l'échec.</w:t>
      </w:r>
    </w:p>
    <w:p>
      <w:r>
        <w:t>- 6/7 -</w:t>
      </w:r>
    </w:p>
    <w:p>
      <w:r>
        <w:t>AC/164/2015 Compte tenu de ce qui précède, le Vice-président du Tribunal civil n'a pas violé le droit en refusant d'accorder l'assistance juridique au recourant au motif que sa cause était dénuée de chances de succès. Partant, le recours, infondé, sera rejeté.</w:t>
      </w:r>
    </w:p>
    <w:p>
      <w:r>
        <w:rPr>
          <w:b/>
        </w:rPr>
        <w:t>E. 4</w:t>
      </w:r>
    </w:p>
    <w:p>
      <w:r>
        <w:t>Sauf exceptions non réalisées en l'espèce, il n'est pas perçu de frais judiciaires pour la procédure d'assistance juridique (art. 119 al. 6 CPC). Par ailleurs, vu l'issue du recours, il n'y a pas lieu à l'allocation de dépens, étant rappelé que selon la pratique constante de l'autorité de céans, aucune indemnité de dépens n'est allouée en matière d'assistance judiciaire, notamment au vu du caractère simple et non formel de cette procédure. * * * * *</w:t>
      </w:r>
    </w:p>
    <w:p>
      <w:r>
        <w:t>- 7/7 -</w:t>
      </w:r>
    </w:p>
    <w:p>
      <w:r>
        <w:t>AC/164/2015 PAR CES MOTIFS, LE VICE-PRÉSIDENT DE LA COUR : A la forme : Déclare recevable le recours formé par A______ contre la décision rendue le 21 octobre 2015 par le Vice-président du Tribunal civil dans la cause AC/164/2015. Au fond : Le rejette. Déboute A______ de toutes autres conclusions. Dit qu'il n'est pas perçu de frais judiciaires pour le recours, ni alloué de dépens. Notifie une copie de la présente décision à A______, représenté par l'ASLOCA, soit pour elle Laurence MIZRAHI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