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DAAJ/5/2015 vom 27. Oktober 2014</w:t>
      </w:r>
    </w:p>
    <w:p>
      <w:r>
        <w:t>GE Cour de justice, 2014-10-27, FR</w:t>
      </w:r>
    </w:p>
    <w:p>
      <w:r>
        <w:rPr>
          <w:b/>
        </w:rPr>
        <w:t xml:space="preserve">Quelle: </w:t>
      </w:r>
      <w:r>
        <w:t>https://mcp.opencaselaw.ch/entscheid/ge_gerichte_DAAJ_5_2015</w:t>
      </w:r>
    </w:p>
    <w:p>
      <w:r>
        <w:t>FR: GE_GERICHTE DAAJ/5/2015 du 27 octobre 2014</w:t>
      </w:r>
    </w:p>
    <w:p>
      <w:r>
        <w:t>IT: GE_GERICHTE DAAJ/5/2015 del 27 ottobre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- 4/6 -</w:t>
      </w:r>
    </w:p>
    <w:p>
      <w:r>
        <w:t>AC/2726/2014</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 Il découle de ce qui précède qu'aucun délai supplémentaire ne sera octroyé à la recourante pour produire des pièces complémentaires.</w:t>
      </w:r>
    </w:p>
    <w:p>
      <w:r>
        <w:rPr>
          <w:b/>
        </w:rPr>
        <w:t>E. 3.1</w:t>
      </w:r>
    </w:p>
    <w:p>
      <w:r>
        <w:t>Toute personne qui ne dispose pas de ressources suffisantes a droit à l'assistance judiciaire à moins que sa cause paraisse dépourvue de toute chance de succès (art. 29 al. 3 Cst. et 117 CPC).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L'assistance judiciaire ne peut en principe pas être accordée aux personnes morales. Celles-ci sont des entités juridiques qui n'ont pas besoin de pourvoir à leur entretien et à celui des proches. Elles ne peuvent être qu'insolvables, obérées ou manquer de liquidités (ATF 126 V 42 consid. 4; 119 Ia 337 consid. 4b). Pour tenir compte d'avis divergents exprimés dans la doctrine, la jurisprudence n'a pas exclu d'octroyer l'assistance judiciaire à une personne morale si son seul actif est en litige et si les personnes physiques qui en sont les ayants droit économiques sont sans ressources. Il faut cependant observer que cette éventualité a uniquement été réservée, sans que l'assistance judiciaire ne soit accordée à une personne morale (ATF 131 II 306 consid. 5.2.1; arrêt du Tribunal fédéral 1B_522/2011 du 23 novembre 2011 consid. 2.1 ; 4A_517/2007 du 14 janvier 2008; cf. également arrêt du Tribunal fédéral 4C.395/1999 du 1er février 2000 consid. 3a et références citées).</w:t>
      </w:r>
    </w:p>
    <w:p>
      <w:r>
        <w:t>- 5/6 -</w:t>
      </w:r>
    </w:p>
    <w:p>
      <w:r>
        <w:t>AC/2726/2014</w:t>
      </w:r>
    </w:p>
    <w:p>
      <w:r>
        <w:rPr>
          <w:b/>
        </w:rPr>
        <w:t>E. 3.2</w:t>
      </w:r>
    </w:p>
    <w:p>
      <w:r>
        <w:t>En l'espèce, il convient de vérifier si la recourante réalise les conditions précitées, spécifiques aux personnes morales. Le litige prud'homal (C/27514/2012), plus précisément la demande reconventionnelle formée par la recourante et invoquée par celle-ci à l'appui de sa requête d'assistance juridique, ne porte pas sur son seul actif contrairement à ce qu'exige la jurisprudence du Tribunal fédéral. Il ne porte, en réalité, même pas sur un actif, mais sur une prétendue créance future tout à fait hypothétique contre son ex-employé, censée résulter de l'issue de la procédure C/21538/2013 opposant la recourante à une ex-employée. En effet, la recourante n'a pas été condamnée pour défaut de protection de la personnalité de son ex- employée dans la procédure C/21538/2013. De surcroît, même si elle l'avait été, ce n'est pas son ex-employé qui en aurait été responsable mais elle-même, en raison d'une éventuelle violation des obligations lui incombant en sa qualité d'employeur. A défaut de réaliser l'une des conditions sine qua non posées par la jurisprudence du Tribunal fédéral concernant les personnes morales, la requête de la recourante doit être rejetée, étant précisé que l'examen qui précède est propre à réparer la violation de son droit d'être entendu sur ce point. Par économie de procédure, il ne sera pas statué sur les chances de succès de l'appel interjeté par la recourante contre le jugement incident JTPH/257/2014, étant relevé qu'aucune violation du droit d'être entendu de la recourante ne peut être reprochée au premier juge à cet égard. En effet, la question des chances de succès de l'appel n'est pas déterminante en l'espèce, du moment que la requête est rejetée en relation avec la qualité de personne morale de la recourante. A cela s'ajoute que la recourante ne se prononce elle-même pas sur les chances de succès de son appel. Compte tenu de ce qui précède, le recours sera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- 6/6 -</w:t>
      </w:r>
    </w:p>
    <w:p>
      <w:r>
        <w:t>AC/2726/2014 PAR CES MOTIFS, LE VICE-PRÉSIDENT DE LA COUR : A la forme : Déclare recevable le recours formé par A______ SA contre la décision rendue le 27 octobre 2014 par le Vice-président du Tribunal civil dans la cause AC/2726/2014. Au fond : Rejette le recours. Dit qu'il n'est pas perçu de frais judiciaires pour le recours ni alloué de dépens. Déboute A______ SA de toutes autres conclusions. Notifie une copie de la présente décision à A______ SA en l'Étude de Me Etienne PATROCLE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