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DAAJ/59/2026 vom 27. März 2026</w:t>
      </w:r>
    </w:p>
    <w:p>
      <w:r>
        <w:t>GE Cour de justice, 2026-03-27, FR</w:t>
      </w:r>
    </w:p>
    <w:p>
      <w:r>
        <w:rPr>
          <w:b/>
        </w:rPr>
        <w:t xml:space="preserve">Quelle: </w:t>
      </w:r>
      <w:r>
        <w:t>https://mcp.opencaselaw.ch/entscheid/ge_gerichte_DAAJ_59_2026</w:t>
      </w:r>
    </w:p>
    <w:p>
      <w:r>
        <w:t>FR: GE_GERICHTE DAAJ/59/2026 du 27 mars 2026</w:t>
      </w:r>
    </w:p>
    <w:p>
      <w:r>
        <w:t>IT: GE_GERICHTE DAAJ/59/2026 del 27 marzo 2026</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w:t>
      </w:r>
    </w:p>
    <w:p>
      <w:r>
        <w:t>- 4/6 -</w:t>
      </w:r>
    </w:p>
    <w:p>
      <w:r>
        <w:t>AC/2659/2025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Selon l'art. 83 al. 1 et al. 2, 1ère phr., LP, lorsque la mainlevée provisoire a été accordée, le débiteur peut, dans les 20 jours à compter de la mainlevée, intenter au for de la poursuite une action en libération de dette. L'action en libération de dette est une action de droit matériel tendant à faire constater que la créance déduite en poursuite était inexistante ou inexigible au moment de l'introduction de la poursuite. Quand bien même le créancier poursuivant a le rôle de défendeur dans cette action, la répartition du fardeau de la preuve demeure inchangée. Il échoit ainsi au créancier/défendeur de prouver les faits dont il déduit l'existence et l'exigibilité de la créance, tandis que le débiteur/demandeur peut se défendre en démontrant qu'il ne doit pas les sommes réclamées (ATF 131 III 268 consid. 3.1; 130 III 285 consid. 5.3.1; arrêts du Tribunal fédéral 4A_395/2022 du 11 octobre 2022 consid. 3.1.1; 4A_482/2019m du 10 novembre 2020 consid. 3). Les créances invoquées en compensation doivent être prouvées par le débiteur compensant (arrêt du Tribunal fédéral 4A_395/2022 du 11 octobre 2022 consid. 3.1.1 et la référence citée). 3.1.3 Une banque octroie un crédit à un client si elle met à sa disposition des fonds, habituellement par un crédit porté au compte du client (LOMBARDINI, Droit bancaire suisse, 2008, n. 1, p. 829). Du point de vue du droit bancaire, la banque est obligée de prendre des précautions et d'analyser le risque qu'elle court dans les transactions de crédit. Elle procède à une analyse des risques dans son propre intérêt et non dans l'intérêt de sa contrepartie (LOMBARDINI, op. cit., n. 10 et 13, p. 832 et 833). Ainsi, lorsqu'un crédit est utilisé pour financer un projet extérieur à la banque, celle-ci n'est en principe pas tenue d'examiner la faisabilité juridique ou économique de ces projets, de même qu'elle n'est pas obligée d'attirer l'attention du preneur de crédit sur les risques du projet à financer (arrêt du Tribunal fédéral 4C.314/2005 du 17 janvier 2006 consid. 1.2.4). La banque n’a pas à sauvegarder les intérêts du client dans les négociations qu’elle conduit. Le client est maître de ses affaires. La banque n’a pas d’obligation de le renseigner sur les risques qu’il court, de déterminer dans l’intérêt du</w:t>
      </w:r>
    </w:p>
    <w:p>
      <w:r>
        <w:t>- 5/6 -</w:t>
      </w:r>
    </w:p>
    <w:p>
      <w:r>
        <w:t>AC/2659/2025 client si le crédit correspond à ses besoins ou s’il aura les moyens de le rembourser (LOMBARDINI, op. cit., n. 13, p. 833).</w:t>
      </w:r>
    </w:p>
    <w:p>
      <w:r>
        <w:rPr>
          <w:b/>
        </w:rPr>
        <w:t>E. 3.2</w:t>
      </w:r>
    </w:p>
    <w:p>
      <w:r>
        <w:t>En l'espèce, le recourant reproche au premier juge d’avoir retenu qu’il disposait d’une situation financière lui permettant de remplir ses obligations contractuelles lors de la conclusion du prêt hypothécaire, les documents versés à la procédure démontrant sa fragilité financière préexistante. Cette question peut toutefois rester ouverte car, même à retenir que le recourant n'ait effectivement pas eu une situation financière lui permettant de souscrire un emprunt hypothécaire, il n'appartenait pas à la banque de lui refuser un tel crédit pour sauvegarder les intérêts de celui-ci. En effet, lorsqu'une banque procède à un examen de la situation financière d'un emprunteur, elle le fait dans son unique intérêt afin de s'assurer que l'emprunteur sera en mesure d'assumer ses obligations à son égard. Selon la jurisprudence du Tribunal fédéral susmentionnée, la banque qui a octroyé un crédit hypothécaire au recourant n'était donc, a priori, pas dans l'obligation d'attirer l'attention de celui-ci sur l'importance des engagements qu'il prenait et n'avait pas à refuser de contracter avec lui dans l'intérêt de ce dernier. On relèvera à cet égard que le recourant était conscient de sa précarité de sa situation financière puis qu’il s’était vu refuser le crédit par plusieurs autres banques. Les chances de succès de la procédure envisagée apparaissent ainsi très faibles de sorte que la décision de rejet de la présidence du Tribunal civil du 23 décembre 2025 doit être confirmée, par substitution de motifs.</w:t>
      </w:r>
    </w:p>
    <w:p>
      <w:r>
        <w:rPr>
          <w:b/>
        </w:rPr>
        <w:t>E. 4</w:t>
      </w:r>
    </w:p>
    <w:p>
      <w:r>
        <w:t>Sauf exceptions non réalisées en l'espèce, il n'est pas perçu de frais judiciaires pour la procédure d'assistance juridique (art. 119 al. 6 CPC). * * * * *</w:t>
      </w:r>
    </w:p>
    <w:p>
      <w:r>
        <w:t>- 6/6 -</w:t>
      </w:r>
    </w:p>
    <w:p>
      <w:r>
        <w:t>AC/2659/2025 PAR CES MOTIFS, LA VICE-PRÉSIDENTE DE LA COUR : A la forme : Déclare recevable le recours formé le 8 janvier 2026 par A______ contre la décision rendue le 23 décembre 2025 par la vice-présidence du Tribunal civil dans la cause AC/2659/2025.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Victoria PALLUD,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