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DAAJ/59/2018 vom 24. April 2018</w:t>
      </w:r>
    </w:p>
    <w:p>
      <w:r>
        <w:t>GE Cour de justice, 2018-04-24, FR</w:t>
      </w:r>
    </w:p>
    <w:p>
      <w:r>
        <w:rPr>
          <w:b/>
        </w:rPr>
        <w:t xml:space="preserve">Quelle: </w:t>
      </w:r>
      <w:r>
        <w:t>https://mcp.opencaselaw.ch/entscheid/ge_gerichte_DAAJ_59_2018</w:t>
      </w:r>
    </w:p>
    <w:p>
      <w:r>
        <w:t>FR: GE_GERICHTE DAAJ/59/2018 du 24 avril 2018</w:t>
      </w:r>
    </w:p>
    <w:p>
      <w:r>
        <w:t>IT: GE_GERICHTE DAAJ/59/2018 del 24 aprile 2018</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Par conséquent, les allégués de faits dont la recourante n'a pas fait état en première instance et les pièces nouvelles ne seront pas pris en considération.</w:t>
      </w:r>
    </w:p>
    <w:p>
      <w:r>
        <w:rPr>
          <w:b/>
        </w:rPr>
        <w:t>E. 3</w:t>
      </w:r>
    </w:p>
    <w:p>
      <w:r>
        <w:t>La recourante reproche au premier juge d'avoir considéré que les chances de succès de son appel seraient faibles. Elle fait grief à l'autorité de première instance de s'être basée sur une jurisprudence cantonale qui n'avait pas trait à la validité d'un congé donné pour sous-occupation mais à la problématique de la prolongation du bail. Elle estime qu'il n'existe aucune jurisprudence constante à cet égard. Il était faux de soutenir qu'un congé donné pour sous-occupation serait forcément valable, la question devant être analysée cas par cas. D'ailleurs le Règlement qui liait les parties prévoyait qu'un congé donné pour sous-occupation pouvait (et non devait) être donné, réservant un pouvoir</w:t>
      </w:r>
    </w:p>
    <w:p>
      <w:r>
        <w:t>- 4/7 -</w:t>
      </w:r>
    </w:p>
    <w:p>
      <w:r>
        <w:t>AC/1241/2017 d'appréciation et un examen en considérant l'ensemble des circonstances. En outre, la notion de "sous-occupation manifeste" devait être examinée. 3.1.1.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janvier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 3.1.2. Lorsque le bail est de durée indéterminée, chaque partie est en principe libre de résilier le contrat pour la prochaine échéance convenue en respectant le délai de congé prévu (cf. art. 266a al. 1 CO; ATF 140 III 496 consid. 4.1; 138 III 59 consid. 2.1). La seule limite à la liberté contractuelle des parties découle des règles de la bonne foi, à savoir que lorsque le bail porte sur une habitation ou un local commercial, le congé est annulable lorsqu'il contrevient aux règles de la bonne foi (art. 271 al. 1 CO; cf. également art. 271a CO; ATF 140 III 496 consid. 4.1; 138 III 59 consid. 2.1). La protection conférée par l'art. 271 CO procède donc à la fois du principe de la bonne foi (art. 2 al. 1 CC) et de l'interdiction de l'abus de droit (art. 2 al. 2 CC). Les cas typiques d'abus de droit (art. 2 al. 2 CC), à savoir l'absence d'intérêt à l'exercice d'un droit, l'utilisation d'une institution juridique contrairement à son but, la</w:t>
      </w:r>
    </w:p>
    <w:p>
      <w:r>
        <w:t>- 5/7 -</w:t>
      </w:r>
    </w:p>
    <w:p>
      <w:r>
        <w:t>AC/1241/2017 disproportion grossière des intérêts en présence, l'exercice d'un droit sans ménagement et l'attitude contradictoire, permettent de dire si le congé contrevient aux règles de la bonne foi au sens de l'art. 271 al. 1 CO (ATF 120 II 105 consid. 3; sur les cas typiques d'abus de droit : ATF 135 III 162 consid. 3.3.1). Il n'est toutefois pas nécessaire que l'attitude de la partie donnant congé à l'autre constitue un abus de droit "manifeste" au sens de l'art. 2 al. 2 CC (ATF 136 III 190 consid. 2 et les arrêts cités). Ainsi, le congé doit être considéré comme abusif lorsqu'il ne répond à aucun intérêt objectif, sérieux et digne de protection (ATF 135 III 112 consid. 4.1). Tel est le cas lorsque le congé apparaît purement chicanier, lorsqu'il est fondé sur un motif qui ne constitue manifestement qu'un prétexte ou lorsque sa motivation est lacunaire ou fausse (ATF 140 III 496 consid. 4.1; 136 III 190 consid. 2; 135 III 112 consid. 4.1). Le but de la réglementation de l'art. 271 CO est donc uniquement de protéger le locataire contre des résiliations abusives. Un congé n'est pas contraire aux règles de la bonne foi du seul fait que la résiliation entraîne des conséquences pénibles pour le locataire (ATF 140 III 496 consid. 4.1) ou que l'intérêt du locataire au maintien du bail paraît plus important que celui du bailleur à ce qu'il prenne fin (arrêts du Tribunal fédéral 4A_297/2010 du 6 octobre 2010 consid. 2.2; 4A_322/2007 du 12 novembre 2007 consid. 6). Pour statuer sur la validité d'un congé, il ne faut examiner que l'intérêt qu'a le bailleur à récupérer son bien, et non pas procéder à une pesée entre l'intérêt du bailleur et celui du locataire à rester dans les locaux; cette pesée des intérêts n'intervient que dans l'examen de la prolongation du bail (arrêts du Tribunal fédéral 4A_18/2016 du 26 août 2016 consid. 3.2; 4A_484/2012 du 28 février 2013 consid. 2.3.1). 3.1.3. Selon l'art. 15 du Règlement fixant les conditions de location des logements de la Ville de Genève du 18 février 2009 (LC 21 531), dans les limites prévues par le Code des obligations, le bail d'un logement à caractère social peut notamment être résilié par la Ville De Genève, de manière anticipée ou pour l'échéance contractuelle : en cas de sous-occupation manifeste (let. b) ou si le locataire ne remplit plus les conditions d’octroi du logement au sens de l’article 4 (let. d). En cas de sous-occupation manifeste, la Ville de Genève s'efforce, dans la mesure du possible de faire une proposition de relogement du locataire concerné (al. 2). L'art. 4 du Règlement prévoit, entre autres, que le logement sollicité doit être le domicile principal du candidat et de toutes les personnes faisant ménage commun avec lui. L'art. 5 al. 1 du Règlement énonce que, en règle générale, il est attribué un logement à caractère sociale d'au maximum deux pièces de plus que le nombre d'occupants lorsque l'appartement n'est pas occupé par un couple. 3.1.4. L'intérêt public consistant à loger des familles dans les logements sociaux adéquats, ce qui implique d'éviter des situations de sous-occupation, est digne de protection et doit prévaloir sur l'intérêt du locataire à se maintenir dans un logement social dont il ne remplit pas les conditions d'octroi (ACJC/693/2015 du 15 juin 2015 consid. 3.2).</w:t>
      </w:r>
    </w:p>
    <w:p>
      <w:r>
        <w:t>- 6/7 -</w:t>
      </w:r>
    </w:p>
    <w:p>
      <w:r>
        <w:t>AC/1241/2017 3.2.1. En l'espèce, le fait que le fils de la recourante rende souvent visite à cette dernière ne suffit pas à rendre vraisemblable que les deux vivent effectivement ensemble dans le logement en question. Au contraire, la recourante admet que son fils habite chez son père et qu'il ne vient chez elle que ponctuellement par commodité. Il en résulte qu'il n'est pas domicilié chez elle au sens de l'art. 4 du Règlement et que le Vice-président du Tribunal civil pouvait retenir qu'il s'agit d'un cas de sous-occupation, puisque la recourante, vivant seule, ne devrait, en principe, avoir droit qu'à un logement de 3 pièces selon l'art. 5 al. 1 du Règlement. Le fait que la jurisprudence ACJC/693/2015 contestée par la recourante examine un cas de prolongation de bail ne change rien à son contenu, qui définit quel est le but d'intérêt public poursuivi par un bailleur d'un logement à caractère social, à savoir accueillir des familles dans des logements sociaux adéquats, ce qui implique d'éviter des situations de sous-occupation. Le motif de résiliation du bail tiré d'une sous-occupation avérée doit ainsi en principe être considéré comme digne de protection, ce qui implique qu'il n'est pas abusif au sens de l'art. 271 al. 1 CO. 3.2.2. Cela étant, depuis le 8 avril 2009, le Règlement paraît restreindre la possibilité de résilier le bail d'un logement à caractère social en raison d'une sous-occupation aux cas où celle-ci est "manifeste" (art. 15 let. b). Toutefois, cette notion n'est pas définie par la loi et à ce jour la jurisprudence n'en a également pas donné de définition claire. La relation entre les motifs de résiliation prévus par les let. b et d du Règlement n'a pas non plus été clarifiée. Par conséquent, dès lors qu'on ignore quelle interprétation donnera la Chambre d'appel des baux et loyers de l'art. 15 let. b et d du Règlement dans le cadre de la procédure de la recourante, il ne peut pas, à première vue, être retenu que cette autorité considérera comme motif suffisant la sous-occupation de son logement par la recourante pour prononcer la résiliation de son bail. Au vu des considérations qui précédent, les arguments invoqués par la recourante pour contester le congé fondé sur l'art. 266a CO ne peuvent, a priori, pas être considérés comme voués à l'échec. Partant, le recours sera admis et la décision querellée annulée. La condition de l'indigence paraissant réalisée, notamment au vu de l'octroi de l'aide étatique à la recourante pour la procédure devant la première instance, l'extension d'assistance juridique sollicitée sera en conséquence octroyée, avec effet au 20 avril 2017, date du dépôt de la demande.</w:t>
      </w:r>
    </w:p>
    <w:p>
      <w:r>
        <w:rPr>
          <w:b/>
        </w:rPr>
        <w:t>E. 4</w:t>
      </w:r>
    </w:p>
    <w:p>
      <w:r>
        <w:t>Sauf exceptions non réalisées en l'espèce, il n'est pas perçu de frais judiciaires pour la procédure d'assistance juridique (art. 119 al. 6 CPC). * * * * *</w:t>
      </w:r>
    </w:p>
    <w:p>
      <w:r>
        <w:t>- 7/7 -</w:t>
      </w:r>
    </w:p>
    <w:p>
      <w:r>
        <w:t>AC/1241/2017 PAR CES MOTIFS, LE VICE-PRÉSIDENT DE LA COUR : A la forme : Déclare recevable le recours formé par A______ contre la décision rendue le 24 avril 2018 par le Vice-président du Tribunal civil dans la cause AC/1241/2017. Au fond : Annule la décision entreprise. Cela fait, statuant à nouveau : Met A______ au bénéfice de l'assistance juridique pour la procédure d'appel contre le jugement JTBL/257/2018 du Tribunal des baux et loyers. Nomme à cette fin Me Pierre STASTNY, avocat. Déboute A______ de toutes autres conclusions. Dit qu'il n'est pas perçu de frais judiciaires pour le recours. Notifie une copie de la présente décision à A______ (art. 327 al. 5 CPC et 8 al. 3 RAJ) ainsi qu'à Me Pierre STASTNY. Siégeant : Monsieur Patrick CHENAUX, Vice-président; Madame Maïté VALENTE, greffière. Le Vice-président : Patrick CHENAUX</w:t>
      </w:r>
    </w:p>
    <w:p>
      <w:r>
        <w:t>La greffière : Maïté VALENTE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