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DAAJ/59/2016 vom 4. April 2016</w:t>
      </w:r>
    </w:p>
    <w:p>
      <w:r>
        <w:t>GE Cour de justice, 2016-04-04, FR</w:t>
      </w:r>
    </w:p>
    <w:p>
      <w:r>
        <w:rPr>
          <w:b/>
        </w:rPr>
        <w:t xml:space="preserve">Quelle: </w:t>
      </w:r>
      <w:r>
        <w:t>https://mcp.opencaselaw.ch/entscheid/ge_gerichte_DAAJ_59_2016</w:t>
      </w:r>
    </w:p>
    <w:p>
      <w:r>
        <w:t>FR: GE_GERICHTE DAAJ/59/2016 du 4 avril 2016</w:t>
      </w:r>
    </w:p>
    <w:p>
      <w:r>
        <w:t>IT: GE_GERICHTE DAAJ/59/2016 del 4 aprile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w:t>
      </w:r>
    </w:p>
    <w:p>
      <w:r>
        <w:t>- 5/8 -</w:t>
      </w:r>
    </w:p>
    <w:p>
      <w:r>
        <w:t>AC/817/2016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2.2.1. L'art. 14 al. 1 de la loi fédérale du 26 juin 1998 sur l'asile (LAsi ; RS 142.31) prévoit qu'un requérant débouté ne peut engager une procédure visant à l'octroi d'une autorisation de séjour avant d'avoir quitté la Suisse, à moins qu'il n'y ait droit. L'art. 14 al. 1 LAsi fait aussi obstacle à l'invocation de l'art. 30 al. 1 let. b LEtr (cas de rigueur) au regard de l'exclusivité de la procédure d'asile (arrêt du Tribunal fédéral 2C_493/2010 du 16 novembre 2010 consid. 1.5). Selon la jurisprudence, une exception au principe de l'exclusivité de la procédure d'asile n'est admise que si le droit à une autorisation de séjour requis par l'art. 14 al. 1 LAsi in initio apparaît "manifeste" (cf. arrêts du Tribunal fédéral 2C_349/2011 du 23 novembre 2011 consid. 3.1 ; 2C_493/2010 du 16 novembre 2010 consid. 1.4 ; 2C_733/2008 du 12 mars 2009 consid. 5.1). La jurisprudence admet que l'art. 8 § 1 CEDH justifie de faire exception à l'art. 14 al. 1 LAsi lorsqu'il en va de la protection de la vie privée et familiale, notamment pour protéger les relations entre époux (cf. arrêts du Tribunal fédéral 2C_349/2011 précité consid. 3.1 ; 2C_551/2008 du 17 novembre 2008 consid. 4). D'après une jurisprudence constante, les relations visées par l'art. 8 CEDH sont avant tout celles qui concernent la famille dite « nucléaire », soit celles qui existent entre époux ainsi qu'entre parents et enfants mineurs vivant en ménage commun (ATF 135 I 143 consid. 1.3.2 ; 129 II 11 consid. 2 ; 127 II 60 consid. 1d/aa ; 120 Ib 257 consid. 1d). Le droit prévu à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une pesée des intérêts en présence et l'examen de la proportionnalité de la mesure (cf. ATF 139 I 145 consid. 2.2). Pour apprécier ce qui est équitable, l'autorité doit notamment tenir compte de la gravité d'une éventuelle faute commise par l'étranger, de la durée de son séjour en Suisse et du préjudice qu'il aurait à subir avec sa famille du</w:t>
      </w:r>
    </w:p>
    <w:p>
      <w:r>
        <w:t>- 6/8 -</w:t>
      </w:r>
    </w:p>
    <w:p>
      <w:r>
        <w:t>AC/817/2016 fait de l'expulsion, respectivement du refus d'accorder ou de prolonger une autorisation de séjour (arrêt du Tribunal fédéral 2C_369/2015 du 22 novembre 2015 consid. 4.2). Selon la jurisprudence,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(arrêts du Tribunal fédéral 2C_46/2014 du 15 septembre 2014 consid. 6.1 ; 2C_715/2011 du 2 mai 2012 consid. 4.3). 2.2.2. Selon la jurisprudence du Tribunal fédéral, une peine privative de liberté de plus d'une année est une peine de longue durée et constitue un motif de révocation de l'autorisation au sens de l'art. 62 let. b LEtr (ATF 135 II 377 consid. 4.2). La durée supérieure à une année, pour constituer une peine privative de liberté de longue durée, doit impérativement résulter d'un seul jugement pénal. (ATF 139 I 16 consid. 2). Le Tribunal fédéral a considéré qu'une personne attente « de manière très grave » à la sécurité et à l'ordre publics au sens de l'art. 63 al. 1 let. b LEtr lorsque ses actes lèsent ou compromettent des biens juridiques particulièrement importants comme l'intégrité corporelle, physique ou sexuelle. Tel est aussi le cas lorsque les actes individuels ne justifient pas en eux-mêmes une révocation mais que leur répétition montre que la personne concernée n'est pas prête à se conformer à l'ordre en vigueur (ATF 137 II 297 consid. 3.2). Il en résulte que la commission de nombreux délits peut suffire si un examen d'ensemble du comportement de l'intéressé démontre objectivement que celui-ci n'est pas capable de respecter l'ordre établi (arrêts du Tribunal fédéral 2C_273/2010 du</w:t>
      </w:r>
    </w:p>
    <w:p>
      <w:r>
        <w:rPr>
          <w:b/>
        </w:rPr>
        <w:t>E. 2.3</w:t>
      </w:r>
    </w:p>
    <w:p>
      <w:r>
        <w:t>En l'espèce, le recourant reproche à l'OCPM d'avoir retenu qu'il n'avait pas de droit à obtenir une autorisation de séjour sur la base de l'art. 8 CEDH et que, partant, il ne pouvait mener une procédure tendant à l'octroi d'une telle autorisation avant d'avoir quitté la Suisse en application de l'art. 14 al. 1 LAsi. Il fait valoir qu'il entretient des liens étroits avec sa fille, de nationalité suisse, ce qui fonderait son droit à une autorisation de séjour sur la base de l'art. 8 CEDH. Cela étant, au regard de ses antécédents pénaux, il ne paraît de prime abord pas "manifeste" que le recourant puisse tirer de l'art. 8 CEDH un droit à une autorisation de séjour faisant obstacle à l'application de l'art. 14 al. 1 LAsi. Prima facie, la décision d'irrecevabilité de l'OCPM ne semble donc pas incorrecte sur ce point. Par ailleurs, même dans l'hypothèse où la demande d'autorisation de séjour fondée sur l'art. 8 CEDH serait néanmoins déclarée recevable par l'autorité de recours, il semble a priori peu probable qu'une autorisation de séjour soit accordée au recourant.</w:t>
      </w:r>
    </w:p>
    <w:p>
      <w:r>
        <w:t>- 7/8 -</w:t>
      </w:r>
    </w:p>
    <w:p>
      <w:r>
        <w:t>AC/817/2016 En effet, il a été condamné à 5 ans de réclusion en 2002, pour blanchiment d'argent et infraction grave à la LStup. Bien qu'il se soit apparemment bien comporté pendant plusieurs années après sa sortie de prison, il a néanmoins récidivé en 2013 et 2015, commettant notamment de nouvelles infractions à la LStup. Au regard de ce qui précède, il paraît douteux que le recourant puisse se prévaloir de la jurisprudence du Tribunal fédéral publiée aux ATF 139 I 315, sa situation étant différente de celle faisant l'objet de l'arrêt précité. Le risque de commission de nouvelles infractions par le recourant ne paraît au premier abord pas exclu, de sorte qu'il ne semble pas arbitraire de considérer qu'il constitue une menace pour l'ordre et la sécurité publics suisses, ce qui semble justifier une restriction au droit au regroupement familial invoqué, étant relevé que la quotité des dernières peines qui lui ont été infligées n'est pas seule déterminante, l'ensemble des antécédents pénaux pouvant être pris en considération dans la pesée des intérêts en présence en vue de l'octroi d'une autorisation de séjour fondée sur l'art. 8 CEDH. Ainsi, comme l'a retenu le Vice-président du Tribunal civil, même s'il n'est pas impossible que le recourant obtienne gain de cause sur le plan formel, cela n'aura vraisemblablement aucune incidence sur le fond, puisqu'au regard de l'ensemble des circonstances, il semble peu probable qu'une autorisation de séjour lui soit délivrée. Compte tenu de ce qui précède, c'est à bon droit que le Vice-président du Tribunal civil a refusé d'accorder l'assistance juridique au recourant au motif que sa cause paraissait dénuée de chances de succès. Partant, le recours, infondé, sera rejeté. 3. Sauf exceptions non réalisées en l'espèce, il n'est pas perçu de frais judiciaires pour la procédure d'assistance juridique (art. 119 al. 6 CPC). * * * * *</w:t>
      </w:r>
    </w:p>
    <w:p>
      <w:r>
        <w:t>- 8/8 -</w:t>
      </w:r>
    </w:p>
    <w:p>
      <w:r>
        <w:t>AC/817/2016 PAR CES MOTIFS, LE VICE-PRÉSIDENT DE LA COUR : A la forme : Déclare recevable le recours formé par A______ contre la décision rendue le 4 avril 2016 par le Vice-président du Tribunal civil dans la cause AC/817/2016. Au fond : Le rejette. Déboute A______ de toutes autres conclusions. Dit qu'il n'est pas perçu de frais judiciaires pour le recours. Notifie une copie de la présente décision à A______ en l'Étude de Me Pierre BAYENET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r>
        <w:rPr>
          <w:b/>
        </w:rPr>
        <w:t>E. 6</w:t>
      </w:r>
    </w:p>
    <w:p>
      <w:r>
        <w:t>octobre 2010 consid. 3.2 ; 2C_847/2009 du 21 juillet 2010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