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DAAJ/58/2013 vom 24. April 2013</w:t>
      </w:r>
    </w:p>
    <w:p>
      <w:r>
        <w:t>GE Cour de justice, 2013-04-24, FR</w:t>
      </w:r>
    </w:p>
    <w:p>
      <w:r>
        <w:rPr>
          <w:b/>
        </w:rPr>
        <w:t xml:space="preserve">Quelle: </w:t>
      </w:r>
      <w:r>
        <w:t>https://mcp.opencaselaw.ch/entscheid/ge_gerichte_DAAJ_58_2013</w:t>
      </w:r>
    </w:p>
    <w:p>
      <w:r>
        <w:t>FR: GE_GERICHTE DAAJ/58/2013 du 24 avril 2013</w:t>
      </w:r>
    </w:p>
    <w:p>
      <w:r>
        <w:t>IT: GE_GERICHTE DAAJ/58/2013 del 24 aprile 2013</w:t>
      </w:r>
    </w:p>
    <w:p>
      <w:pPr>
        <w:pStyle w:val="Heading2"/>
      </w:pPr>
      <w:r>
        <w:t>Erwägungen</w:t>
      </w:r>
    </w:p>
    <w:p>
      <w:r>
        <w:rPr>
          <w:b/>
        </w:rPr>
        <w:t>E. 1.1</w:t>
      </w:r>
    </w:p>
    <w:p>
      <w:r>
        <w:t>La décision entreprise est sujette à recours auprès du président de la Cour de justice en tant qu'elle refuse l'assistance juridique (art. 10 al. 3 LPA ), compétence déléguée à la vice-présidente soussignée (art. 29 al. 5 LOJ ; arrêt du Tribunal fédéral 2D_6/2012 du 31 juillet 2012 consid. 2). Le recours, écrit et motivé, est introduit auprès de l'instance de recours dans un délai de 30 jours (art. 10 al. 3 LPA, 130, 131 et 321 al. 1 CPC,</w:t>
      </w:r>
    </w:p>
    <w:p>
      <w:r>
        <w:t>- 3/5 -</w:t>
      </w:r>
    </w:p>
    <w:p>
      <w:r>
        <w:t>AC/1012/2013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2.2</w:t>
      </w:r>
    </w:p>
    <w:p>
      <w:r>
        <w:t>En l'espèce, compte tenu des faits portés à sa connaissance, le premier juge a, à juste titre, retenu que le recourant disposait de ressources mensuelles de 2'500 fr., dès lors que le recourant a lui-même indiqué ce montant dans sa requête d'assistance juridique, alors même qu'il était déjà incarcéré depuis plusieurs mois. En revanche, il est arbitraire d'avoir omis de prendre en compte l'entretien de base, dès lors que celui-ci se rapporte notamment aux frais de soins corporels et de santé, de vêtements et de linge, les frais précités étant également supportés par une personne détenue. En prenant en compte l'entretien de base majoré de 20%, les charges du recourant s'élèvent à 1'440 fr. Compte tenu des revenus déclarés par le recourant au moment du dépôt de sa requête, le solde mensuel disponible s'élève à 1'060 fr. C'est donc à juste titre que le premier juge a retenu que le recourant ne remplissait pas la condition de</w:t>
      </w:r>
    </w:p>
    <w:p>
      <w:r>
        <w:t>- 4/5 -</w:t>
      </w:r>
    </w:p>
    <w:p>
      <w:r>
        <w:t>AC/1012/2013 l'indigence. Le premier juge n'a donc pas consacré de violation de la loi en refusant d'octroyer le bénéfice de l'assistance juridique au recourant. Partant, le recours, infondé, sera rejeté. Pour le surplus, il y a lieu de relever que le délai de recours contre la décision de l'Office cantonal des véhicules étant arrivé à échéance à fin avril 2013, un éventuel recours formé à l'avenir contre la décision litigieuse serait tardif, de sorte qu'il serait déclaré irrecevable.</w:t>
      </w:r>
    </w:p>
    <w:p>
      <w:r>
        <w:rPr>
          <w:b/>
        </w:rPr>
        <w:t>E. 3</w:t>
      </w:r>
    </w:p>
    <w:p>
      <w:r>
        <w:t>Sauf exceptions non réalisées en l'espèce, il n'est pas perçu de frais judiciaires pour la procédure d'assistance juridique (art. 119 al. 6 CPC). * * * * *</w:t>
      </w:r>
    </w:p>
    <w:p>
      <w:r>
        <w:t>- 5/5 -</w:t>
      </w:r>
    </w:p>
    <w:p>
      <w:r>
        <w:t>AC/1012/2013 PAR CES MOTIFS, LA VICE-PRÉSIDENTE DE LA COUR : A la forme : Déclare recevable le recours formé par A______ contre la décision rendue le 24 avril 2013 par la Vice-présidente du Tribunal civil dans la cause AC/1012/2013.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w:t>
      </w:r>
    </w:p>
    <w:p>
      <w:r>
        <w:t>Indication des voies de recours :</w:t>
      </w:r>
    </w:p>
    <w:p>
      <w:r>
        <w:t>Conformément aux art. 82 ss de la loi fédérale sur le Tribunal fédéral du 17 juin 2005 (LTF : RS 173.110), la présente décision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