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DAAJ/56/2014 vom 3. Juni 2014</w:t>
      </w:r>
    </w:p>
    <w:p>
      <w:r>
        <w:t>GE Cour de justice, 2014-06-03, FR</w:t>
      </w:r>
    </w:p>
    <w:p>
      <w:r>
        <w:rPr>
          <w:b/>
        </w:rPr>
        <w:t xml:space="preserve">Quelle: </w:t>
      </w:r>
      <w:r>
        <w:t>https://mcp.opencaselaw.ch/entscheid/ge_gerichte_DAAJ_56_2014</w:t>
      </w:r>
    </w:p>
    <w:p>
      <w:r>
        <w:t>FR: GE_GERICHTE DAAJ/56/2014 du 3 juin 2014</w:t>
      </w:r>
    </w:p>
    <w:p>
      <w:r>
        <w:t>IT: GE_GERICHTE DAAJ/56/2014 del 3 giugno 2014</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déléguée au vice-président soussigné (art. 29 al. 5 LOJ ; arrêt du Tribunal fédéral 2D_6/2012 du 31 juillet 2012 consid. 2). Le recours, écrit et motivé, est introduit auprès de l'instance de recours (art. 321 al. 1 CPC) dans un délai de dix jours (art. 321 al. 2 CPC et 11 RAJ).</w:t>
      </w:r>
    </w:p>
    <w:p>
      <w:r>
        <w:rPr>
          <w:b/>
        </w:rPr>
        <w:t>E. 1.2</w:t>
      </w:r>
    </w:p>
    <w:p>
      <w:r>
        <w:t>Le recours a été déposé dans le délai utile et selon la forme prescrite par la loi, sous réserve de l'exigence de motivation du recours.</w:t>
      </w:r>
    </w:p>
    <w:p>
      <w:r>
        <w:rPr>
          <w:b/>
        </w:rPr>
        <w:t>E. 2.1</w:t>
      </w:r>
    </w:p>
    <w:p>
      <w:r>
        <w:t>Le pouvoir d'examen de la Cour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2010, n. 2513-2515, p. 453).</w:t>
      </w:r>
    </w:p>
    <w:p>
      <w:r>
        <w:t>- 3/4 -</w:t>
      </w:r>
    </w:p>
    <w:p>
      <w:r>
        <w:t>AC/1373/2014 L'obligation de motiver le recours suppose une critique des points de la décision tenus pour contraires au droit. Le recourant doit donc énoncer de manière précise les griefs qu'il adresse à la décision de première instance et démontrer en quoi un point de fait a été établi de façon manifestement inexacte. Il doit décrire l'élément de fait taxé d'arbitraire, se référer aux pièces du dossier de première instance (art. 326 al. 1 CPC) qui contredisent l'état de fait retenu et, enfin, démontrer que l'instance inférieure s'est manifestement trompée sur le sens et la portée d'une preuve ou, encore, en a tiré des constatations insoutenables (DAAJ/111/2012, consid. 1.2). La juridiction de recours n'entre pas en matière sur un acte ne contenant aucune motivation par laquelle il est possible de discerner en quoi la juridiction inférieure a erré (art. 320 let. a et b CPC).</w:t>
      </w:r>
    </w:p>
    <w:p>
      <w:r>
        <w:rPr>
          <w:b/>
        </w:rPr>
        <w:t>E. 2.2</w:t>
      </w:r>
    </w:p>
    <w:p>
      <w:r>
        <w:t>En l'espèce, le recours ne respecte pas les conditions de motivation imposées par la loi. En effet, l'acte de recours ne contient pas de motivation suffisante permettant de comprendre en quoi le Vice-président du Tribunal civil aurait établi les faits de manière arbitraire et quelle violation de la loi lui est reprochée. En particulier, le recourant ne critique pas la décision attaquée en ce qui concerne l'établissement de sa situation financière. Dans la mesure où l'absence de motivation de l'acte ne constitue pas un vice de forme réparable au sens de l'art. 132 CPC (HOHL, op. cit., n. 3030), il ne peut être entré en matière sur le recours, qui est dès lors déclaré irrecevable.</w:t>
      </w:r>
    </w:p>
    <w:p>
      <w:r>
        <w:rPr>
          <w:b/>
        </w:rPr>
        <w:t>E. 3</w:t>
      </w:r>
    </w:p>
    <w:p>
      <w:r>
        <w:t>Sauf exceptions non réalisées en l'espèce, il n'est pas perçu de frais judiciaires pour la procédure d'assistance juridique (art. 119 al. 6 CPC). * * * * *</w:t>
      </w:r>
    </w:p>
    <w:p>
      <w:r>
        <w:t>- 4/4 -</w:t>
      </w:r>
    </w:p>
    <w:p>
      <w:r>
        <w:t>AC/1373/2014 PAR CES MOTIFS, LE VICE-PRÉSIDENT DE LA COUR : Déclare irrecevable le recours formé par A______ contre la décision rendue le 3 juin 2014 par le Vice-président du Tribunal civil dans la cause AC/1373/2014. Dit qu'il n'est pas perçu de frais judiciaires pour le recours. Notifie une copie de la présente décision à A______ (art. 327 al. 5 CPC et 8 al. 3 RAJ). Siégeant : Monsieur Jean-Marc STRUBIN, vice-président ; Monsieur Jacques GUERTLER, greffier.</w:t>
      </w:r>
    </w:p>
    <w:p>
      <w:r>
        <w:t>Indication des voies de recours :</w:t>
      </w:r>
    </w:p>
    <w:p>
      <w:r>
        <w:t>Le Tribunal fédéral connaît, comme juridiction ordinaire de recours, des recours en matière civile ; la qualité et les autres conditions pour interjeter recours sont déterminées par les art. 72 à 77 et 90 ss de la loi sur le Tribunal fédéral du 17 juin 2005 (LTF ; RS 173.110).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