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DAAJ/55/2018 vom 23. April 2018</w:t>
      </w:r>
    </w:p>
    <w:p>
      <w:r>
        <w:t>GE Cour de justice, 2018-04-23, FR</w:t>
      </w:r>
    </w:p>
    <w:p>
      <w:r>
        <w:rPr>
          <w:b/>
        </w:rPr>
        <w:t xml:space="preserve">Quelle: </w:t>
      </w:r>
      <w:r>
        <w:t>https://mcp.opencaselaw.ch/entscheid/ge_gerichte_DAAJ_55_2018</w:t>
      </w:r>
    </w:p>
    <w:p>
      <w:r>
        <w:t>FR: GE_GERICHTE DAAJ/55/2018 du 23 avril 2018</w:t>
      </w:r>
    </w:p>
    <w:p>
      <w:r>
        <w:t>IT: GE_GERICHTE DAAJ/55/2018 del 23 aprile 2018</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- 3/5 -</w:t>
      </w:r>
    </w:p>
    <w:p>
      <w:r>
        <w:t>AC/1229/2018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 notamment la baisse des revenus de son épouse en mars et avril 2018 - ainsi que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in JdT 2006 IV p. 47). L'indigence s'apprécie en fonction de l'ensemble des ressources du recourant, dont ses revenus, sa fortune et ses charges, tous les éléments pertinents étant pris en considération (ATF 135 I 221 consid. 5.1; 124 I 1 consid. 2a, in JdT 1999 I p. 60; 120 Ia 179 consid. 3a, in JdT 1995 I p. 283). La situation économique existant au moment du dépôt de la requête est déterminante (ATF 135 I 221 consid. 5.1; 120 Ia 179 consid. 3a;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5A_327/2017 du 2 août 2017 consid. 4). Les ressources effectives des personnes qui ont à l'égard du requérant une obligation d'entretien, soit notamment le conjoint, doivent être prises en compte (ATF 119 Ia 11 consid. 3a), le devoir de l'Etat d'accorder l'assistance judiciaire à un plaideur impécunieux dans une cause non dénuée de chances de succès étant subsidiaire à l'obligation d'entretien qui résulte du droit de la famille (ATF 138 III 672 consid. 4.2.1 avec les références; arrêt du Tribunal fédéral 5A_556/2014 du 4 mars 2015 consid. 3.1).</w:t>
      </w:r>
    </w:p>
    <w:p>
      <w:r>
        <w:rPr>
          <w:b/>
        </w:rPr>
        <w:t>E. 3.2</w:t>
      </w:r>
    </w:p>
    <w:p>
      <w:r>
        <w:t>En l'espèce, le recourant fait grief à l'autorité de première instance d'avoir considéré que son épouse percevait un revenu mensuel net moyen de 5'183 fr. 35. Pour arrêter les ressources de l'épouse du recourant, le premier juge a effectué une moyenne entre les revenus perçus par cette dernière de janvier à février 2018 (part au treizième salaire compris), sans prendre en compte les revenus perçus en novembre 2017, dont le décompte de salaire lui avait pourtant été remis par le recourant.</w:t>
      </w:r>
    </w:p>
    <w:p>
      <w:r>
        <w:t>- 4/5 -</w:t>
      </w:r>
    </w:p>
    <w:p>
      <w:r>
        <w:t>AC/1229/2018 Compte tenu du salaire variable de l'épouse, qui s'est élevé à 3'719 fr. 85 en février 2018, à 6'646 fr. 85 en janvier 2018 et à 2'604 fr. 75 en novembre 2017, l'autorité de première instance aurait dû procéder à une moyenne sur trois mois et non uniquement sur les deux mois de 2018. Ce faisant, elle aurait dû arriver à la conclusion que l'épouse du recourant percevait un revenu mensuel net moyen de 4'323 fr. 80 et que le ménage formé par le recourant et son épouse disposait de ressources mensuelles totales de 6'604 fr. 80 (et non de 7'464 fr. 35). Il s'ensuit qu'avec des charges mensuelles admissibles de 3'739 fr. 70, montant non contesté sur recours, les revenus du recourant et de son épouse dépassent de 2'865 fr. 10 le minimum vital élargi en vigueur à Genève (et non de 3'724 fr. 65 ainsi que retenu par le premier juge). Cette modification ne change cependant pas la solution à laquelle est parvenue l'Autorité de première instance, à savoir que le ménage dispose de ressources suffisantes pour couvrir en moins d'une année les éventuels honoraires d'avocat, au besoin par mensualités. C'est ainsi à juste titre que le premier juge a refusé d'octroyer l'assistance juridique au recourant au motif qu'il ne remplissait pas la condition d'indigence. Partant, le recours, infondé, sera rejeté.</w:t>
      </w:r>
    </w:p>
    <w:p>
      <w:r>
        <w:rPr>
          <w:b/>
        </w:rPr>
        <w:t>E. 4</w:t>
      </w:r>
    </w:p>
    <w:p>
      <w:r>
        <w:t>Sauf exceptions non réalisées en l'espèce, il n'est pas perçu de frais judiciaires pour la procédure d'assistance juridique (art. 119 al. 6 CPC). * * * * *</w:t>
      </w:r>
    </w:p>
    <w:p>
      <w:r>
        <w:t>- 5/5 -</w:t>
      </w:r>
    </w:p>
    <w:p>
      <w:r>
        <w:t>AC/1229/2018 PAR CES MOTIFS, LE VICE-PRÉSIDENT DE LA COUR : A la forme : Déclare recevable le recours formé le 30 avril 2018 par A______ contre la décision rendue le 23 avril 2018 par le Vice-président du Tribunal civil dans la cause AC/1229/2018.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w:t>
      </w:r>
    </w:p>
    <w:p>
      <w:r>
        <w:t>La greffière: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