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DAAJ/54/2025 vom 27. Januar 2025</w:t>
      </w:r>
    </w:p>
    <w:p>
      <w:r>
        <w:t>GE Cour de justice, 2025-01-27, FR</w:t>
      </w:r>
    </w:p>
    <w:p>
      <w:r>
        <w:rPr>
          <w:b/>
        </w:rPr>
        <w:t xml:space="preserve">Quelle: </w:t>
      </w:r>
      <w:r>
        <w:t>https://mcp.opencaselaw.ch/entscheid/ge_gerichte_DAAJ_54_2025</w:t>
      </w:r>
    </w:p>
    <w:p>
      <w:r>
        <w:t>FR: GE_GERICHTE DAAJ/54/2025 du 27 janvier 2025</w:t>
      </w:r>
    </w:p>
    <w:p>
      <w:r>
        <w:t>IT: GE_GERICHTE DAAJ/54/2025 del 27 gennaio 2025</w:t>
      </w:r>
    </w:p>
    <w:p>
      <w:pPr>
        <w:pStyle w:val="Heading2"/>
      </w:pPr>
      <w:r>
        <w:t>Erwägungen</w:t>
      </w:r>
    </w:p>
    <w:p>
      <w:r>
        <w:rPr>
          <w:b/>
        </w:rPr>
        <w:t>E. 1.1</w:t>
      </w:r>
    </w:p>
    <w:p>
      <w:r>
        <w:t>En tant qu'elle refuse un changement d'avocat, la décision entreprise, rendue en procédure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- 4/6 -</w:t>
      </w:r>
    </w:p>
    <w:p>
      <w:r>
        <w:t>AC/1424/2024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w:t>
      </w:r>
    </w:p>
    <w:p>
      <w:r>
        <w:t>La recourante reproche au premier juge d'avoir considéré que les conditions de l'art. 14 RAJ n'étaient pas remplies. 3.1.1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 3.1.2 Selon l'art. 14 al. 1 RAJ, le relief d'une nomination, avec ou sans nomination d'un nouvel avocat, n'est accordé ou ordonné d'office que pour de justes motifs, tels la rupture de la relation de confiance (let. c).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w:t>
      </w:r>
    </w:p>
    <w:p>
      <w:r>
        <w:t>- 5/6 -</w:t>
      </w:r>
    </w:p>
    <w:p>
      <w:r>
        <w:t>AC/1424/2024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w:t>
      </w:r>
    </w:p>
    <w:p>
      <w:r>
        <w:rPr>
          <w:b/>
        </w:rPr>
        <w:t>E. 3.2</w:t>
      </w:r>
    </w:p>
    <w:p>
      <w:r>
        <w:t>En l'espèce, dans le cadre de son recours, la recourante reproche à son conseil de ne pas aller assez rapidement de l'avant. Or, comme retenu à juste titre par le premier juge, il n'était pas contraire aux intérêts de la recourante de tenter de trouver un accord avec son époux avant le dépôt d'une action en divorce. Si l'on peut comprendre que la recourante souhaite que sa situation soit réglée au plus vite, généralement, le fait de trouver un accord entre les parties permet de mettre un terme au litige plus rapidement que par le biais une procédure conflictuelle. Pour cette raison, on ne peut pas reprocher au conseil de la recourante d'avoir pris le temps de chercher un compromis avant de déposer une demande en divorce. On relèvera que la recourante n'allègue pas que ses intérêts financiers auraient été mis en péril par une éventuelle inaction de son conseil, notamment qu'elle n'aurait pas pu subvenir à ses besoins pendant le temps des négociations, ou que l'intérêt de l'enfant aurait été mis en danger. Par ailleurs, le conseil de la recourante a été nommé exclusivement pour défendre ses intérêts dans le cadre d'une procédure de divorce. Elle n'a donc pas à gérer les autres problèmes que pourrait rencontrer la recourante qui n'entreraient pas dans le cadre de cette procédure. Il ne peut donc pas lui être reproché de ne pas s'occuper de l'ensemble des problèmes de la recourante, notamment ceux relatifs à une amende due aux autorités italiennes en lien avec une infraction routière qu'aurait commise son mari avec sa voiture. Au vu de ce qui précède, c'est à juste titre que le premier juge a considéré qu'un changement de conseil n'était pas justifié. Partant, le recours, infondé, sera rejeté.</w:t>
      </w:r>
    </w:p>
    <w:p>
      <w:r>
        <w:rPr>
          <w:b/>
        </w:rPr>
        <w:t>E. 4</w:t>
      </w:r>
    </w:p>
    <w:p>
      <w:r>
        <w:t>Sauf exceptions non réalisées en l'espèce, il n'est pas perçu de frais judiciaires pour la procédure d'assistance juridique (art. 119 al. 6 CPC). Il n'y a pas lieu à l'octroi de dépens. * * * * *</w:t>
      </w:r>
    </w:p>
    <w:p>
      <w:r>
        <w:t>- 6/6 -</w:t>
      </w:r>
    </w:p>
    <w:p>
      <w:r>
        <w:t>AC/1424/2024 PAR CES MOTIFS, LA VICE-PRÉSIDENTE DE LA COUR : A la forme : Déclare recevable le recours formé le 6 février 2024 par A______ contre la décision rendue le 27 janvier 2025 par la vice-présidence du Tribunal civil dans la cause AC/1424/2024.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PALAZZETTI,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