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DAAJ/53/2022 vom 23. März 2022</w:t>
      </w:r>
    </w:p>
    <w:p>
      <w:r>
        <w:t>GE Cour de justice, 2022-03-23, FR</w:t>
      </w:r>
    </w:p>
    <w:p>
      <w:r>
        <w:rPr>
          <w:b/>
        </w:rPr>
        <w:t xml:space="preserve">Quelle: </w:t>
      </w:r>
      <w:r>
        <w:t>https://mcp.opencaselaw.ch/entscheid/ge_gerichte_DAAJ_53_2022</w:t>
      </w:r>
    </w:p>
    <w:p>
      <w:r>
        <w:t>FR: GE_GERICHTE DAAJ/53/2022 du 23 mars 2022</w:t>
      </w:r>
    </w:p>
    <w:p>
      <w:r>
        <w:t>IT: GE_GERICHTE DAAJ/53/2022 del 23 marzo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 Dès lors, la pièce n° 2 du recourant, ainsi que les allégués qui s'y rapportent, sont irrecevables.</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w:t>
      </w:r>
    </w:p>
    <w:p>
      <w:r>
        <w:t>- 5/7 -</w:t>
      </w:r>
    </w:p>
    <w:p>
      <w:r>
        <w:t>AC/3092/2021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Selon l'art. 272 al. 1 ch. 1 LP, le séquestre est autorisé lorsque le requérant rend vraisemblable que sa créance existe. A cet égard,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précité loc. cit.;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du séquestre procède à un examen sommaire du bien-fondé juridique, c'est-à-dire un examen qui n'est ni définitif, ni complet, au terme duquel il rend une décision provisoire (ATF 138 III 232 consid. 4.1.1; arrêts du Tribunal fédéral 5A_560/2015 du 13 octobre 2015 consid. 3; 5A_925/2012 du 5 avril 2013 consid. 9.2 et les références, publié in SJ 2013 I p. 463).</w:t>
      </w:r>
    </w:p>
    <w:p>
      <w:r>
        <w:rPr>
          <w:b/>
        </w:rPr>
        <w:t>E. 3.2</w:t>
      </w:r>
    </w:p>
    <w:p>
      <w:r>
        <w:t>En l'espèce, c'est avec raison que la vice-présidente du Tribunal a rejeté la requête d'assistance juridique du recourant pour les frais judiciaires de son recours du 7 octobre 2021 formé contre l'ordonnance de refus de séquestre du 22 septembre 2021 puisqu'il n'a pas rendu vraisemblable sa créance de 1'200'000 fr. à l'encontre de B______ Ltd. Il ressort en effet de la sentence du 29 octobre 2019 et du calcul exposé ci-dessus (A.b.) que le Tribunal arbitral a pris en considération le fait que B______ Ltd ne s'était exécutée qu'à hauteur de 40% envers le recourant en lui payant la somme de 800'000 fr. au lieu des 2'000'000 fr. dus, raison pour laquelle elle a limité son obligation de payer le prix de rachat des titres en cause à concurrence de 40% de leur valeur (soit 40% de 3'577'292 fr. 80 = 1'430'917 fr., respectivement 1'130'917 fr. après compensation). On comprend ainsi de la sentence que le tribunal arbitral a entendu régler l'ensemble des conséquences financières des opérations de vente et de rachat sans laisser subsister une créance en versement du solde du prix de vente initial.</w:t>
      </w:r>
    </w:p>
    <w:p>
      <w:r>
        <w:t>- 6/7 -</w:t>
      </w:r>
    </w:p>
    <w:p>
      <w:r>
        <w:t>AC/3092/2021 Il s'ensuit que la vice-présidente du Tribunal n'a pas violé l'art. 117 CPC dès lors que le recours du recourant du 7 octobre 2021 auprès de la Cour paraît dépourvu de chances de succès. Infondé, le recours sera, dès lors, rejeté.</w:t>
      </w:r>
    </w:p>
    <w:p>
      <w:r>
        <w:rPr>
          <w:b/>
        </w:rPr>
        <w:t>E. 4</w:t>
      </w:r>
    </w:p>
    <w:p>
      <w:r>
        <w:t>Sauf exceptions non réalisées en l'espèce, il n'est pas perçu de frais judiciaires pour la procédure d'assistance juridique (art. 119 al. 6 CPC). * * * * *</w:t>
      </w:r>
    </w:p>
    <w:p>
      <w:r>
        <w:t>- 7/7 -</w:t>
      </w:r>
    </w:p>
    <w:p>
      <w:r>
        <w:t>AC/3092/2021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