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DAAJ/52/2018 vom 16. März 2018</w:t>
      </w:r>
    </w:p>
    <w:p>
      <w:r>
        <w:t>GE Cour de justice, 2018-03-16, FR</w:t>
      </w:r>
    </w:p>
    <w:p>
      <w:r>
        <w:rPr>
          <w:b/>
        </w:rPr>
        <w:t xml:space="preserve">Quelle: </w:t>
      </w:r>
      <w:r>
        <w:t>https://mcp.opencaselaw.ch/entscheid/ge_gerichte_DAAJ_52_2018</w:t>
      </w:r>
    </w:p>
    <w:p>
      <w:r>
        <w:t>FR: GE_GERICHTE DAAJ/52/2018 du 16 mars 2018</w:t>
      </w:r>
    </w:p>
    <w:p>
      <w:r>
        <w:t>IT: GE_GERICHTE DAAJ/52/2018 del 16 marzo 2018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w:t>
      </w:r>
    </w:p>
    <w:p>
      <w:r>
        <w:t>- 3/5 -</w:t>
      </w:r>
    </w:p>
    <w:p>
      <w:r>
        <w:t>AC/88/2017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à la recourante a été subordonné au versement d'une participation mensuelle de 80 fr. La recourante n'a jamais contesté être en mesure de s'acquitter de cette participation mensuelle, qu'elle a d'ailleurs versée à concurrence de 14 mensualités. Ainsi, dans la mesure où la recourante n'avait allégué aucun changement de situation financière par-devant l'autorité de première instance, il n'était pas arbitraire de considérer, au moment du prononcé de la décision litigieuse,</w:t>
      </w:r>
    </w:p>
    <w:p>
      <w:r>
        <w:t>- 4/5 -</w:t>
      </w:r>
    </w:p>
    <w:p>
      <w:r>
        <w:t>AC/88/2017 qu'elle était en mesure de rembourser la somme de 3'146 fr. 05 avancée par l'Etat, au besoin par mensualités. En effet, conformément aux règles rappelées ci-dessus, la recourante pouvait, à l'issue de la procédure au fond, être condamnée à rembourser les prestations avancées par l'Etat jusqu'à concurrence de 60 mensualités, à savoir 4'800 fr. Dans le cadre de son recours, la recourante a toutefois soutenu que sa situation financière s'était péjorée. Dans la mesure où les éléments nouvellement invoqués par cette dernière ont été examinés par l'Autorité de première instance dans ses observations au recours, il serait faire preuve de formalisme excessif que de les écarter au motif qu'ils auraient été allégués tardivement. Le calcul nouvellement opéré par le Vice-président du Tribunal civil est toutefois exempt de critiques, en particulier la non-prise en compte dans les charges du ménage des frais de téléphonie et d'électricité (puisque déjà compris dans l'entretien de base) ainsi que des frais de transport automobile allégués (faute pour la recourante d'avoir démontré qu'un véhicule lui serait indispensable pour l'exercice de sa profession). Quant aux frais d'orthodontie allégués, d'environ 60 fr. par mois, leur prise en compte ne modifierait pas la solution, puisque le ménage continuerait de disposer de plus de 300 fr. par mois. Il s'ensuit que le Vice-président n'a pas violé le droit en condamnant la recourante au remboursement du montant de 3'146 fr. 05. Partant, le recours, infondé, sera rejeté. L'attention de la recourante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AC/88/2017 PAR CES MOTIFS, LE VICE-PRÉSIDENT DE LA COUR : A la forme : Déclare recevable le recours formé le 13 avril 2018 par A______ contre la décision rendue le 16 mars 2018 par le Vice-président du Tribunal civil dans la cause AC/88/2017. Au fond : Le rejette. Déboute A______ de toutes autres conclusions. Dit qu'il n'est pas perçu de frais judiciaires pour le recours, ni alloué de dépens. Notifie une copie de la présente décision à A______ en l'Étude de Me Pierre KOBEL (art. 137 CPC).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