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DAAJ/51/2018 vom 17. April 2018</w:t>
      </w:r>
    </w:p>
    <w:p>
      <w:r>
        <w:t>GE Cour de justice, 2018-04-17, FR</w:t>
      </w:r>
    </w:p>
    <w:p>
      <w:r>
        <w:rPr>
          <w:b/>
        </w:rPr>
        <w:t xml:space="preserve">Quelle: </w:t>
      </w:r>
      <w:r>
        <w:t>https://mcp.opencaselaw.ch/entscheid/ge_gerichte_DAAJ_51_2018</w:t>
      </w:r>
    </w:p>
    <w:p>
      <w:r>
        <w:t>FR: GE_GERICHTE DAAJ/51/2018 du 17 avril 2018</w:t>
      </w:r>
    </w:p>
    <w:p>
      <w:r>
        <w:t>IT: GE_GERICHTE DAAJ/51/2018 del 17 aprile 2018</w:t>
      </w:r>
    </w:p>
    <w:p>
      <w:pPr>
        <w:pStyle w:val="Heading2"/>
      </w:pPr>
      <w:r>
        <w:t>Erwägungen</w:t>
      </w:r>
    </w:p>
    <w:p>
      <w:r>
        <w:rPr>
          <w:b/>
        </w:rPr>
        <w:t>E. 1.1</w:t>
      </w:r>
    </w:p>
    <w:p>
      <w:r>
        <w:t>La décision entreprise est sujette à recours auprès de la présidente de la Cour de justice en tant qu'elle refuse un changement d'avocat (art. 14 RAJ;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d'avoir considéré que les raisons pour lesquelles elle désirait changer d'avocat n'étaient pas objectives.</w:t>
      </w:r>
    </w:p>
    <w:p>
      <w:r>
        <w:t>- 4/6 -</w:t>
      </w:r>
    </w:p>
    <w:p>
      <w:r>
        <w:t>AC/1267/2017</w:t>
      </w:r>
    </w:p>
    <w:p>
      <w:r>
        <w:rPr>
          <w:b/>
        </w:rPr>
        <w:t>E. 2.1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w:t>
      </w:r>
    </w:p>
    <w:p>
      <w:r>
        <w:rPr>
          <w:b/>
        </w:rPr>
        <w:t>E. 2.2</w:t>
      </w:r>
    </w:p>
    <w:p>
      <w:r>
        <w:t>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Selon la jurisprudence, il n'existe pas, dans le cadre de l'assistance judiciaire, un droit au libre choix de son mandataire (ATF 139 IV 113 consid. 1.1; 135 I 261 consid. 1.2; 125 I 161 consid. 3b; 114 Ia 101 consid. 3; arrêts du Tribunal fédéral 4A_106/2017 du</w:t>
      </w:r>
    </w:p>
    <w:p>
      <w:r>
        <w:rPr>
          <w:b/>
        </w:rPr>
        <w:t>E. 2.3</w:t>
      </w:r>
    </w:p>
    <w:p>
      <w:r>
        <w:t>En l'espèce, Me B______ a déposé une demande en divorce en bonne et due forme et a assisté la recourante à l'audience du 24 janvier 2018, lors de laquelle son époux était représenté par avocat. Le défendeur ayant valablement été atteint, l'avocat de la</w:t>
      </w:r>
    </w:p>
    <w:p>
      <w:r>
        <w:t>- 5/6 -</w:t>
      </w:r>
    </w:p>
    <w:p>
      <w:r>
        <w:t>AC/1267/2017 recourante n'était pas tenu de faire des recherches approfondies sur le domicile de l'époux de sa cliente, cette question pouvant être éclaircie dans le cadre de la procédure. Il n'était, par ailleurs, pas nécessaire d'aborder le sujet de l'autorité parentale lors de l'audience relative aux mesures provisionnelles, cette question touchant le fond du litige. Enfin, le simple fait que la recourante ne se soit pas sentie suffisamment soutenue ou écoutée ne suffit pas à retenir une atteinte à ses intérêts. En revanche, il ressort du dossier que Me B______ n'a pas expliqué à la recourante le but de l'audience susmentionnée et qu'il ne s'est pas entretenu avec sa cliente après ladite audience pour répondre à ses questions. La recourante n'a pu en comprendre les enjeux qu'avec les explications reçues en mars 2018 par Me C______. Me B______ ne conteste pas ces faits et admet souvent refuser les appels téléphoniques de ses mandants. Si Me B______ a valablement défendu les intérêts de la recourante lors de la rédaction de la demande en divorce ou lors de l'audience du 24 janvier 2018, le dossier révèle toutefois un manque de communication et une certaine incompréhension entre les deux parties, notamment quant à la prise en compte par l'avocat des interrogations exprimées par la recourante ainsi qu'à l'explication à cette dernière des rouages de la procédure, ce qui est de nature à ébranler le lien de confiance. Il se justifie dès lors de faire droit à la requête de changement d'avocat sollicité. Par conséquent, le recours sera admis et la décision querellée annulée. Me C______, avocat de choix, a d'ores et déjà accepté d'assurer la défense de la recourante. Il sera dès lors désigné avocat d'office en lieu et place de Me B______, avec effet au 5 mars 2018, date du dépôt de la requête en changement d'avocat. Cela étant, il faut souligner que la recourante a résilié le mandat de Me B______ et mandaté Me C______ pour défendre ses intérêts, ce avant d'obtenir l'autorisation de l'Assistance juridique. Un tel comportement ne saurait être cautionné. Il ne saurait, en effet, être toléré qu'un justiciable mis au bénéfice de l'assistance juridique et désireux de changer d'avocat place l'autorité devant le fait accompli en procédant audit changement sans autorisation. 3. Sauf exceptions non réalisées en l'espèce, il n'est pas perçu de frais judiciaires pour la procédure d'assistance juridique (art. 119 al. 6 CPC). * * * * *</w:t>
      </w:r>
    </w:p>
    <w:p>
      <w:r>
        <w:t>- 6/6 -</w:t>
      </w:r>
    </w:p>
    <w:p>
      <w:r>
        <w:t>AC/1267/2017 PAR CES MOTIFS, LE VICE-PRÉSIDENT DE LA COUR : A la forme : Déclare recevable le recours formé par A______ contre la décision rendue le 17 avril 2018 par le Vice-président du Tribunal civil dans la cause AC/1267/2017. Au fond : Annule cette décision. Relève Me B______ de ses fonctions avec effet au 5 mars 2018. Nomme d'office Me C______ aux fins d'assurer la défense des intérêts de A______ dans le cadre de la procédure C/1______/2017 devant le Tribunal de première instance. Maintient les autres conditions posées à l'octroi de l'assistance juridique dans la décision du 25 avril 2017. Dit qu'il n'est pas perçu de frais judiciaires pour le recours. Notifie une copie de la présente décision à A______ en l'étude de Me C______. Notifie une copie de la présente décision pour information à Me B______.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juillet 2017 consid. 3.2; 5A_63/2010 du 29 mars 2010; 2D_144/2008 du 23 mars 2009 consid. 5.1). De même,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