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DAAJ/50/2026 vom 20. März 2026</w:t>
      </w:r>
    </w:p>
    <w:p>
      <w:r>
        <w:t>GE Cour de justice, 2026-03-20, FR</w:t>
      </w:r>
    </w:p>
    <w:p>
      <w:r>
        <w:rPr>
          <w:b/>
        </w:rPr>
        <w:t xml:space="preserve">Quelle: </w:t>
      </w:r>
      <w:r>
        <w:t>https://mcp.opencaselaw.ch/entscheid/ge_gerichte_DAAJ_50_2026</w:t>
      </w:r>
    </w:p>
    <w:p>
      <w:r>
        <w:t>FR: GE_GERICHTE DAAJ/50/2026 du 20 mars 2026</w:t>
      </w:r>
    </w:p>
    <w:p>
      <w:r>
        <w:t>IT: GE_GERICHTE DAAJ/50/2026 del 20 marzo 2026</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2.1.1.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w:t>
      </w:r>
    </w:p>
    <w:p>
      <w:r>
        <w:t>- 4/6 -</w:t>
      </w:r>
    </w:p>
    <w:p>
      <w:r>
        <w:t>AC/2560/2025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L'autorité chargée de statuer sur l'assistance ne doit pas se substituer au juge du fond; tout au plus doit-elle examiner s'il y a des chances que le juge adopte la position soutenue par le requérant, chances qui doivent être plus ou moins équivalentes aux risques qu'il parvienne à la conclusion contraire (arrêt du Tribunal fédéral 4A_614/2015 du 25 avril 2016 consid. 3.2).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2.1.2. Si la situation change notablement, le juge modifie ou supprime la contribution d'entretien à la demande du père, de la mère ou de l'enfant (art. 286 al. 2 CC). La modification de la contribution à l'entretien de l'enfant suppose que des faits nouveaux importants et durables surviennent, qui commandent une réglementation différente. La procédure de modification n'a en effet pas pour but de corriger le premier jugement, mais de l'adapter aux circonstances nouvelles intervenant chez les parents ou l'enfant. Le moment déterminant pour apprécier si des circonstances nouvelles se sont produites est la date du dépôt de la demande de modification (ATF 150 III 153 consid. 3.2; 137 III 604 consid. 4.1.1). Toutes les circonstances qui sont importantes pour le calcul de la contribution d'entretien peuvent être prises en considération pour une modification. Il s'agit notamment des changements dans l'activité lucrative ou la situation de logement d'un parent, par exemple lorsqu'un emploi est trouvé ou prend fin ou lorsqu'un parent trouve un nouveau partenaire de vie (ATF 150 III 153 consid. 3.2).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w:t>
      </w:r>
    </w:p>
    <w:p>
      <w:r>
        <w:t>- 5/6 -</w:t>
      </w:r>
    </w:p>
    <w:p>
      <w:r>
        <w:t>AC/2560/2025 chacun des parents pour juger de la nécessité de modifier la contribution d'entretien dans le cas concret (ATF 137 III 604 consid. 4.1.1). 3.2.1 En l'espèce, la vice-présidence du Tribunal civil a examiné sommairement, conformément aux principes applicables en la matière, si les conditions d’une modification de jugement étaient remplies. Dans cette mesure, le Vice-président ne s'est pas substitué au juge du fond et n'a pas violé le droit en procédant de la sorte. D’ailleurs, si le recourant reproche au premier juge d’avoir mal évalué ses revenus et ses charges, il ne critique pas la décision en tant qu’elle retient, à titre principal, qu’il n’a pas prouvé que son loyer et ses charges auraient augmenté. En effet, si le recourant a bel et bien déménagé depuis le prononcé du jugement, ce qui constitue un fait nouveau, il n’a toutefois pas allégué quelle était sa situation financière lors du prononcé du jugement de sorte qu’elle ne peut pas être comparée avec sa situation actuelle. Il s’est effectivement limité à produire le jugement, non motivé, sans établir quels étaient ses revenus et ses charges au moment de son prononcé. Le recourant n’a donc, en l’état, pas rendu vraisemblable une détérioration de sa situation financière, étant relevé que les éventuelles nouvelles charges résultant de son déménagement – hausse de loyer, frais de transport – pourraient être compensées par la diminution d'autres charges, comme le montant de la prime d’assurance-maladie. Compte tenu des éléments portés à la connaissance du premier juge, c’est à juste titre que ce dernier a considéré que, a priori, les chances de succès de l’action en modification d’une contribution d’entretien semblaient très faibles. Partant, le recours, infondé, sera rejeté.</w:t>
      </w:r>
    </w:p>
    <w:p>
      <w:r>
        <w:rPr>
          <w:b/>
        </w:rPr>
        <w:t>E. 3</w:t>
      </w:r>
    </w:p>
    <w:p>
      <w:r>
        <w:t>Sauf exceptions non réalisées en l'espèce, il n'est pas perçu de frais judiciaires pour la procédure d'assistance juridique (art. 119 al. 6 CPC). Compte tenu de l’issue du litige, il n'y a pas lieu à l'octroi de dépens. * * * * *</w:t>
      </w:r>
    </w:p>
    <w:p>
      <w:r>
        <w:t>- 6/6 -</w:t>
      </w:r>
    </w:p>
    <w:p>
      <w:r>
        <w:t>AC/2560/2025 PAR CES MOTIFS, LA VICE-PRÉSIDENTE DE LA COUR :</w:t>
      </w:r>
    </w:p>
    <w:p>
      <w:r>
        <w:t>A la forme : Déclare recevable le recours formé le 1er décembre 2025 par A______ contre la décision rendue le 14 novembre 2025 par la vice-présidence du Tribunal civil dans la cause AC/2560/2025.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Victoria PALLUD,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