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DAAJ/50/2023 vom 28. Februar 2023</w:t>
      </w:r>
    </w:p>
    <w:p>
      <w:r>
        <w:t>GE Cour de justice, 2023-02-28, FR</w:t>
      </w:r>
    </w:p>
    <w:p>
      <w:r>
        <w:rPr>
          <w:b/>
        </w:rPr>
        <w:t xml:space="preserve">Quelle: </w:t>
      </w:r>
      <w:r>
        <w:t>https://mcp.opencaselaw.ch/entscheid/ge_gerichte_DAAJ_50_2023</w:t>
      </w:r>
    </w:p>
    <w:p>
      <w:r>
        <w:t>FR: GE_GERICHTE DAAJ/50/2023 du 28 février 2023</w:t>
      </w:r>
    </w:p>
    <w:p>
      <w:r>
        <w:t>IT: GE_GERICHTE DAAJ/50/2023 del 28 febbraio 2023</w:t>
      </w:r>
    </w:p>
    <w:p>
      <w:pPr>
        <w:pStyle w:val="Heading2"/>
      </w:pPr>
      <w:r>
        <w:t>Erwägungen</w:t>
      </w:r>
    </w:p>
    <w:p>
      <w:r>
        <w:rPr>
          <w:b/>
        </w:rPr>
        <w:t>E. 1.1</w:t>
      </w:r>
    </w:p>
    <w:p>
      <w:r>
        <w:t>En tant qu'elle refuse un changement d'avocat, la décision entreprise, rendue en procédure sommaire (art. 119 al. 3 CPC),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au premier juge d'avoir considéré que les conditions de l'art. 14 RAJ n'étaient pas remplies.</w:t>
      </w:r>
    </w:p>
    <w:p>
      <w:r>
        <w:rPr>
          <w:b/>
        </w:rPr>
        <w:t>E. 2.1</w:t>
      </w:r>
    </w:p>
    <w:p>
      <w:r>
        <w:t>2.1.1 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w:t>
      </w:r>
    </w:p>
    <w:p>
      <w:r>
        <w:t>- 5/7 -</w:t>
      </w:r>
    </w:p>
    <w:p>
      <w:r>
        <w:t>AC/2105/2022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w:t>
      </w:r>
    </w:p>
    <w:p>
      <w:r>
        <w:rPr>
          <w:b/>
        </w:rPr>
        <w:t>E. 2.1.2</w:t>
      </w:r>
    </w:p>
    <w:p>
      <w:r>
        <w:t>Selon l'art. 14 al. 1 RAJ, le relief d'une nomination, avec ou sans nomination d'un nouvel avocat, n'est accordé ou ordonné d'office que pour de justes motifs, tels la rupture de la relation de confiance (let. c).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arrêts du Tribunal fédéral 1B_16/2018 du 26 juin 2018 consid. 2.2 et 5A_643/2010 du 11 janvier 2011 consid. 4.3).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(DAAJ/3/2022 du 13 janvier 2022 consid. 3.1, DAAJ/130/2017 du 8 décembre 2017 consid. 3.4).</w:t>
      </w:r>
    </w:p>
    <w:p>
      <w:r>
        <w:rPr>
          <w:b/>
        </w:rPr>
        <w:t>E. 2.2</w:t>
      </w:r>
    </w:p>
    <w:p>
      <w:r>
        <w:t>En l'espèce, outre que devant le premier juge le recourant n'a pas reproché à Me C______ d'avoir tardé à déposer une requête en mesures protectrices de l'union conjugale, ce dernier n'a pas été en mesure de le faire compte tenu d'une mauvaise communication avec le recourant. Le recourant n'a de plus pas rendu vraisemblable qu'il y aurait eu urgence à déposer une telle requête. En outre, même si C______ a considéré que le lien de confiance avec le recourant était rompu, il était conscient de devoir continuer à assurer le mandat que lui avait confié</w:t>
      </w:r>
    </w:p>
    <w:p>
      <w:r>
        <w:t>- 6/7 -</w:t>
      </w:r>
    </w:p>
    <w:p>
      <w:r>
        <w:t>AC/2105/2022 l'Assistance juridique. Ce n'est que parce que le recourant a pris la décision unilatérale de changer de mandataire, sans en demander préalablement l'autorisation, mettant ainsi l'autorité de première instance devant le fait accompli, que Me C______ a été contraint d'informer l'Assistance juridique de la situation et de constater qu'il n'était plus à même de mener à bien son mandat. Il importe peu à cet égard que Me C______ ait indiqué, le 23 décembre 2022, que "le lien de confiance réciproque s'était irrémédiablement détérioré" dès lors que c'est le comportement du recourant, qui n'arrivait pas à comprendre que Me C______ n'avait pas été commis pour le défendre dans toutes les procédures dont il faisait l'objet, qui a précipité le terme du mandat en exigeant la restitution de son dossier auprès de son conseil le 16 décembre 2022. Il a ainsi empêché l'avocat nommé d'office de poursuivre efficacement son mandat, de sorte que la vice-présidence du Tribunal civil, en application de la jurisprudence de la Cour de céans, a refusé avec raison le changement d'avocat et indiqué au recourant qu'il lui incombait de rémunérer son nouveau conseil de choix au moyen de ses propres deniers.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- 7/7 -</w:t>
      </w:r>
    </w:p>
    <w:p>
      <w:r>
        <w:t>AC/2105/2022 PAR CES MOTIFS, LA VICE-PRÉSIDENTE DE LA COUR : A la forme : Déclare recevable le recours formé le 10 mars 2023 par A______ contre la décision rendue le 28 février 2023 par la vice-présidence du Tribunal civil dans la cause AC/2105/2022.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