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DAAJ/50/2015 vom 28. April 2015</w:t>
      </w:r>
    </w:p>
    <w:p>
      <w:r>
        <w:t>GE Cour de justice, 2015-04-28, FR</w:t>
      </w:r>
    </w:p>
    <w:p>
      <w:r>
        <w:rPr>
          <w:b/>
        </w:rPr>
        <w:t xml:space="preserve">Quelle: </w:t>
      </w:r>
      <w:r>
        <w:t>https://mcp.opencaselaw.ch/entscheid/ge_gerichte_DAAJ_50_2015</w:t>
      </w:r>
    </w:p>
    <w:p>
      <w:r>
        <w:t>FR: GE_GERICHTE DAAJ/50/2015 du 28 avril 2015</w:t>
      </w:r>
    </w:p>
    <w:p>
      <w:r>
        <w:t>IT: GE_GERICHTE DAAJ/50/2015 del 28 aprile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t>- 4/6 -</w:t>
      </w:r>
    </w:p>
    <w:p>
      <w:r>
        <w:t>AC/654/2015</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3.1.2 Le juge peut ordonner que la contribution d'entretien de l'enfant soit augmentée ou réduite dès que des changements déterminés interviennent dans les besoins de l'enfant, les ressources des père et mère ou le coût de la vie (art. 286 al. 1 CC). Si la situation change notablement, le juge modifie ou supprime la contribution d'entretien à la demande du père, de la mère ou de l'enfant (art. 286 al. 2 CC). Selon la jurisprudence, qui se rapporte essentiellement à la modification de la contribution à l'entretien de l'enfant fixée dans le cadre d'une procédure en divorce, une telle contribution ne peut être modifiée qu'aux conditions de l'art. 286 al. 2 CC, ce qui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 financières et les besoins respectifs des parties ont évolué depuis la première décision (ATF 120 II 285 consid. 4b; 120 II 177 consid. 3a; arrêt du Tribunal fédéral 5C.112/2002 du 27 novembre 2002 consid. 6.1; 5C.78/2001 du 24 août 2001 consid. 2a et 2b/bb).</w:t>
      </w:r>
    </w:p>
    <w:p>
      <w:r>
        <w:t>- 5/6 -</w:t>
      </w:r>
    </w:p>
    <w:p>
      <w:r>
        <w:t>AC/654/2015</w:t>
      </w:r>
    </w:p>
    <w:p>
      <w:r>
        <w:rPr>
          <w:b/>
        </w:rPr>
        <w:t>E. 3.2</w:t>
      </w:r>
    </w:p>
    <w:p>
      <w:r>
        <w:t>En l'espèce, c'est à juste titre que la recourante fait valoir qu'il n'a pas été tenu compte de sa situation réelle dans l'arrêt de la Cour du Luxembourg. En effet, cette décision retient que la recourante avait une activité lucrative qui se poursuivrait jusqu'en 2015 alors que son contrat de travail avait déjà pris fin. En outre, l'un des enfants a des charges supplémentaires depuis le prononcé du divorce, soit des soins orthodontiques non remboursés par les assurances-maladie. Un examen sommaire de la situation permet donc de retenir qu'il y a a priori eu un changement notable des circonstances depuis le prononcé du jugement de divorce. Ce changement est susceptible d'entraîner une modification du montant des contributions d'entretien dues aux enfants. Par ailleurs, il est vraisemblable qu'eu égard au marché du travail actuel que la recourante peut difficilement exercer un emploi avec sa seule licence d'histoire. Celle-ci devrait être complétée par une formation en enseignement dont il est notoire que les places sont actuellement très limitées de sorte que, sans autre formation, aucun revenu hypothétique ne peut a priori lui être imputé. Au vu de ce qui précède, sur la base d'un examen sommaire, il n'apparait pas a priori que l'action en modification que désire intenter la recourante soit dénuée de chance de succès. Par conséquent, la décision entreprise sera annulée et la cause renvoyée au premier juge pour nouvelle décision après examen de la condition d'indigence.</w:t>
      </w:r>
    </w:p>
    <w:p>
      <w:r>
        <w:rPr>
          <w:b/>
        </w:rPr>
        <w:t>E. 4</w:t>
      </w:r>
    </w:p>
    <w:p>
      <w:r>
        <w:t>Sauf exceptions non réalisées en l'espèce, il n'est pas perçu de frais judiciaires pour la procédure d'assistance juridique (art. 119 al. 6 CPC). * * * * *</w:t>
      </w:r>
    </w:p>
    <w:p>
      <w:r>
        <w:t>- 6/6 -</w:t>
      </w:r>
    </w:p>
    <w:p>
      <w:r>
        <w:t>AC/654/2015 PAR CES MOTIFS, LE VICE-PRÉSIDENT DE LA COUR : A la forme : Déclare recevable le recours formé le 8 mai 2015 par A______ contre la décision rendue le 28 avril 2015 par le Vice-président du Tribunal civil dans la cause AC/654/2015.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