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DAAJ/50/2014 vom 11. März 2014</w:t>
      </w:r>
    </w:p>
    <w:p>
      <w:r>
        <w:t>GE Cour de justice, 2014-03-11, FR</w:t>
      </w:r>
    </w:p>
    <w:p>
      <w:r>
        <w:rPr>
          <w:b/>
        </w:rPr>
        <w:t xml:space="preserve">Quelle: </w:t>
      </w:r>
      <w:r>
        <w:t>https://mcp.opencaselaw.ch/entscheid/ge_gerichte_DAAJ_50_2014</w:t>
      </w:r>
    </w:p>
    <w:p>
      <w:r>
        <w:t>FR: GE_GERICHTE DAAJ/50/2014 du 11 mars 2014</w:t>
      </w:r>
    </w:p>
    <w:p>
      <w:r>
        <w:t>IT: GE_GERICHTE DAAJ/50/2014 del 11 marzo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au vice-président soussigné (art. 29 al. 5 LOJ ; arrêt du Tribunal fédéral 2D_6/2012 du 31 juillet 2012 consid. 2). Le recours, écrit et motivé, est introduit auprès de l'instance de recours (art. 321 al. 1 CPC) dans un délai de dix jours (art. 321 al. 2 CPC). Le conseil juridique dispose à titre personnel d'un droit de recours au sujet de la rémunération équitable accordée (ATF 131 V 153 consid. 1 ; TAPPY, Code de procédure civile commenté, 2011, n. 22 ad art. 123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En l'espèce, le recourant se contente de requérir la tenue d'une audience, sans toutefois indiquer de manière précise sur quels points son audition pourrait être utile à l'appréciation de sa cause ou propre à modifier l'appréciation des éléments figurant d'ores et déjà au dossier. À cet égard, il doit en particulier être rappelé que le pouvoir d'examen de la Cour est limité (cf. consid. 1.3. supra) et que l'apport de faits nouveaux au dossier au stade du recours n'est pas possible.</w:t>
      </w:r>
    </w:p>
    <w:p>
      <w:r>
        <w:t>- 5/7 -</w:t>
      </w:r>
    </w:p>
    <w:p>
      <w:r>
        <w:t>AC/2834/2011 Par conséquent, l'audition du recourant ne sera pas ordonnée.</w:t>
      </w:r>
    </w:p>
    <w:p>
      <w:r>
        <w:rPr>
          <w:b/>
        </w:rPr>
        <w:t>E. 3.1</w:t>
      </w:r>
    </w:p>
    <w:p>
      <w:r>
        <w:t>Aux termes de l'art. 16 RAJ, l'indemnité due à l'avocat et au défenseur d'office en matière pénale est calculée selon le tarif horaire suivant, débours de l'étude inclus : 65 fr. pour un avocat stagiaire, 125 fr. pour un collaborateur et 200 fr. pour un chef d'étude, la TVA étant versée en sus (al. 1) ; seules les heures nécessaires sont retenues. Elles sont appréciées en fonction notamment de la nature, de l'importance, et des difficultés de la cause, de la valeur litigieuse, de la qualité du travail fourni et du résultat obtenu (al. 2). L'autorité compétente dispose d'un large pouvoir d'appréciation dans l'application des normes cantonales relatives à l'indemnisation de l'avocat d'office (arrêt du Tribunal fédéral 1P.713/2005 du 14 février 2006 consid. 2.1).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 D'après les directives du greffe de l'Assistance juridique du 17 décembre 2014 relatives à l'établissement de l'état de frais des avocats (disponibles sur le site Internet http://ge.ch/justice/assistance-juridique), il a notamment été décidé d'introduire, en ce qui concerne les courriers et téléphones en matière civile, un forfait global correspondant à 50% de l'activité déployée pour les autres postes (conférences, procédure et audiences). Cela étant, il est précisé que "l’application systématique de ce nouveau forfait pourrait dans certains cas aboutir à un résultat inéquitable, voire choquant, parfois vers le bas mais plus souvent vers le haut s'agissant des états de frais indiquant un nombre d'heures particulièrement important pour des procédures de longue durée. Nous nous réservons donc le droit de procéder à une application nuancée de ladite règle lorsqu'il s'avérera nécessaire d'en corriger les effets pervers conformément aux principes découlant de l'art 19 al. 3 [a]RAJ". Concernant le forfait relatif à la majoration des honoraires pour le temps consacré aux conférences téléphoniques et à la rédaction de courriers, le Tribunal fédéral a considéré qu'en fixant un forfait en fonction de l'importance de l'activité déployée et calculé sur la base de 20% jusqu'à 30 heures d'activité (dans une procédure pénale) et de 10% au-delà, les juridictions genevoises n'outrepassaient pas la large marge de manœuvre dont elles disposaient en la matière (arrêt du Tribunal pénal fédéral BB.2013.165 du 24 janvier 2014 consid. 4.2).</w:t>
      </w:r>
    </w:p>
    <w:p>
      <w:r>
        <w:t>- 6/7 -</w:t>
      </w:r>
    </w:p>
    <w:p>
      <w:r>
        <w:t>AC/2834/2011</w:t>
      </w:r>
    </w:p>
    <w:p>
      <w:r>
        <w:rPr>
          <w:b/>
        </w:rPr>
        <w:t>E. 3.2</w:t>
      </w:r>
    </w:p>
    <w:p>
      <w:r>
        <w:t>En l'espèce, compte tenu des principes rappelés ci-dessus, l'Autorité de première instance n'a ni excédé son pouvoir d'appréciation, ni violé le principe de la proportionnalité en réduisant de 50 à 30% le forfait relatif à la majoration des honoraires du recourant pour le temps consacré aux téléphones et aux courriers. Par ailleurs, seul le nombre d'heures nécessaires pour assurer le mandat d'office est décisif pour fixer la rémunération du recourant. Or, à la lecture du relevé d'activités de ce dernier, un certain nombre d'heures d'activité facturées apparaissent superflues, au regard de l'importance et de la complexité de l'affaire. En effet, rien ne vient justifier les multiples conférences avec le client, notamment en dehors de la préparation des audiences. Par ailleurs, le temps consacré à la préparation desdites audiences (tant avec le client que sans celui-ci) est exagéré, nonobstant les difficultés liées au fait que ledit client ne maîtrise pas la langue française. En outre, le temps de rédaction des écritures est également excessif, la cause ne présentant pas de difficultés particulières, tant en fait qu'en droit. Pour le surplus, le temps consacré à la préparation de la liste de témoins apparaît également disproportionné. Dans l'ensemble, il apparaît – comme l'Autorité de première instance l'a retenu –, que les opérations effectuées par le recourant n'étaient pas toutes nécessaires à l'exécution de son mandat d'office. Sur le total de 51.25 heures facturées au tarif de chef d'étude (la double facturation chef d'étude/avocat-stagiaire n'étant pas prise en compte), la réduction opérée par le premier juge correspond à 12.75 heures d'activité (forfait courriers et téléphones non inclus). En effet, 38.5 heures à 200 fr. donnent une rémunération de 7'700 fr., montant majoré du forfait de 30%, ce qui revient à une indemnisation globale de 10'000 fr. environ HT. Compte tenu de ce qui précède, de la complexité et de l'issue de la procédure, le montant arrêté par le premier juge apparaît tout à fait raisonnable et équitable. Partant, le recours, infondé, sera rejeté.</w:t>
      </w:r>
    </w:p>
    <w:p>
      <w:r>
        <w:rPr>
          <w:b/>
        </w:rPr>
        <w:t>E. 4</w:t>
      </w:r>
    </w:p>
    <w:p>
      <w:r>
        <w:t>Sauf exceptions non réalisées en l'espèce, il n'est pas perçu de frais judiciaires pour la procédure d'assistance juridique (art. 119 al. 6 CPC). Par ailleurs, la conclusion tendant implicitement à l'allocation de dépens est infondée, vu l'issue du recours. * * * * *</w:t>
      </w:r>
    </w:p>
    <w:p>
      <w:r>
        <w:t>- 7/7 -</w:t>
      </w:r>
    </w:p>
    <w:p>
      <w:r>
        <w:t>AC/2834/2011 PAR CES MOTIFS, LE VICE-PRÉSIDENT DE LA COUR : À la forme : Déclare recevable le recours formé par Me A______ contre la décision rendue le 11 mars 2014 par le Vice-président du Tribunal civil dans la cause AC/2834/2011. Au fond : Le rejette. Déboute Me A______ de toutes autres conclusions. Dit qu'il n'est pas perçu de frais judiciaires pour le recours, ni alloué de dépens. Notifie une copie de la présente décision à Me A______ (art. 327 al. 5 CPC et</w:t>
      </w:r>
    </w:p>
    <w:p>
      <w:r>
        <w:rPr>
          <w:b/>
        </w:rPr>
        <w:t>E. 8</w:t>
      </w:r>
    </w:p>
    <w:p>
      <w:r>
        <w:t>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