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DAAJ/48/2021 vom 13. Januar 2021</w:t>
      </w:r>
    </w:p>
    <w:p>
      <w:r>
        <w:t>GE Cour de justice, 2021-01-13, FR</w:t>
      </w:r>
    </w:p>
    <w:p>
      <w:r>
        <w:rPr>
          <w:b/>
        </w:rPr>
        <w:t xml:space="preserve">Quelle: </w:t>
      </w:r>
      <w:r>
        <w:t>https://mcp.opencaselaw.ch/entscheid/ge_gerichte_DAAJ_48_2021</w:t>
      </w:r>
    </w:p>
    <w:p>
      <w:r>
        <w:t>FR: GE_GERICHTE DAAJ/48/2021 du 13 janvier 2021</w:t>
      </w:r>
    </w:p>
    <w:p>
      <w:r>
        <w:t>IT: GE_GERICHTE DAAJ/48/2021 del 13 gennaio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w:t>
      </w:r>
    </w:p>
    <w:p>
      <w:r>
        <w:t>- 7/10 -</w:t>
      </w:r>
    </w:p>
    <w:p>
      <w:r>
        <w:t>AC/2192/2019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 modification de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(cf. art. 179 al. 1 CC applicable par renvoi de l'art. 276 al. 1 CPC; ATF 143 III 617 consid. 3.1, 141 III 376 consid. 3.3.1 et 129 III 60 consid. 2; arrêts du Tribunal fédéral 5A_64/2018 du 14 août 2018 consid. 3.1 et 5A_787/2017 du 28 novembre 2017 consid. 5.1). La survenance d'une modification essentielle et durable dans la situation familiale s'apprécie à la date du dépôt de la demande en modification (ATF 137 III 604 consid. 4.1.1; arrêts du Tribunal fédéral 5A_1001/2017 du 22 mai 2018 consid. 3; 5A_732/2015 du 8 février 2016 consid. 2; 5A_22/2014 du 13 mai 2014 consid. 3.1). En cas de modification des circonstances en cours d’instance, il convient de se référer au droit de procédure applicable afin de déterminer si lesdites circonstances peuvent être prises en considération (PELLATON et SIMEONI, Commentaire pratique Droit matrimonial : Fond et procédure, 2016, n. 40 ad art. 179 CC et n. 18 ad art. 129 CC).</w:t>
      </w:r>
    </w:p>
    <w:p>
      <w:r>
        <w:t>- 8/10 -</w:t>
      </w:r>
    </w:p>
    <w:p>
      <w:r>
        <w:t>AC/2192/2019</w:t>
      </w:r>
    </w:p>
    <w:p>
      <w:r>
        <w:rPr>
          <w:b/>
        </w:rPr>
        <w:t>E. 2.3</w:t>
      </w:r>
    </w:p>
    <w:p>
      <w:r>
        <w:t>Aux termes de l'art. 273 al. 1 CC, applicable par renvoi des art. 276 al. 1 CPC et 176 al. 3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La volonté de l'enfant est un élément pertinent pour la fixation du droit de visite. La réglementation du droit de visite ne saurait toutefois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Si un enfant capable de discernement refuse de manière catégorique et répétée, sur le vu de ses propres expériences, notamment en raison de violence, d'avoir des contacts avec l'un de ses parents, il faut les refuser en raison du bien de l'enfant; en effet, face à une forte opposition, un contact forcé est incompatible avec le but des relations personnelles ainsi qu'avec les droits de la personnalité de l'enfant (ATF 126 III 219 consid. 2b; arrêt du Tribunal fédéral 5A_459/2015 du 13 août 2015 consid. 6.2.2). En vertu de l'art. 4 CC, le juge dispose d'un large pouvoir d'appréciation dans la fixation du droit aux relations personnelles (ATF 142 III 617 consid. 3.2.5; arrêt du Tribunal fédéral 5A_334/2018 du 7 août 2018 consid. 3.1).</w:t>
      </w:r>
    </w:p>
    <w:p>
      <w:r>
        <w:rPr>
          <w:b/>
        </w:rPr>
        <w:t>E. 2.4</w:t>
      </w:r>
    </w:p>
    <w:p>
      <w:r>
        <w:t>En l'espèce, la recourante conclut notamment, dans le cadre de son recours contre l'ordonnance du 16 septembre 2020, à la suspension de la reprise des relations personnelles entre son fils C______ et le père de celui-ci. Afin de justifier du bien-fondé de sa demande, la recourante se prévaut du mal-être ressenti par C______ lors de ses deux rencontres avec son père en date des 10 et 24 novembre 2020 ainsi que de l'opposition du mineur à toute nouvelle rencontre. Contrairement à ce qu'a retenu l'autorité précédente, il semblerait que ces faits constituent un changement de circonstances, dès lors qu'ils sont survenus postérieurement aux différentes ordonnances rendues. Leur invocation au stade du</w:t>
      </w:r>
    </w:p>
    <w:p>
      <w:r>
        <w:t>- 9/10 -</w:t>
      </w:r>
    </w:p>
    <w:p>
      <w:r>
        <w:t>AC/2192/2019 recours apparaît en outre a priori possible, l'art. 53 LaCC, qui régit les recours contre les décisions du TPAE, ne prévoyant aucune restriction en matière d'apport de faits et moyens de preuve nouveaux. Par ailleurs, il ne peut être exclu que le refus catégorique et constant d'un enfant âgé de 11 ans d'entretenir des relations personnelles avec un de ses parents et le développement d'un mal-être consécutivement aux rencontres organisées avec celui-ci puissent constituer un motif de modification des modalités de droit de visite fixées. A cet égard, il sied de préciser qu'il est sans pertinence que le refus de C______ de revoir son père repose uniquement sur les allégations de la recourante dès lors que, s'agissant d'une procédure concernant le sort d'un enfant mineur, les faits doivent être établis d'office. Il incombera ainsi cas échéant au juge de clarifier la situation. Par ailleurs, la procédure en complément du jugement de divorce roumain étant une procédure au fond, rien ne permet d'affirmer, contrairement à ce qu'a retenu l'autorité précédente, que l'ordonnance du 16 septembre 2020 est susceptible d'être revue prochainement. Ainsi, compte tenu du large pouvoir d'appréciation dont dispose le juge en matière de fixation des relations personnelles, il ne peut, sur la base d'un examen sommaire et au stade de la vraisemblance, être retenu que le recours de la recourante contre l'ordonnance du 16 septembre 2020 est dénué de chances de succès. Dans la mesure où il suffit qu'un des motifs du recours pour lequel l'assistance juridique est sollicitée apparaisse fondé pour admettre que la condition des chances de succès est réalisée, il n'est pas nécessaire d'examiner si la conclusion de la recourante tendant à la relève de F______ de son mandat de curateur de l'enfant est également susceptible de faire l'objet d'une suite favorable. La décision entreprise sera en conséquence annulée et la cause renvoyée à la Vice- présidente du Tribunal de première instance pour examen des autres conditions d'octroi de l'assistance juridique et nouvelle décision.</w:t>
      </w:r>
    </w:p>
    <w:p>
      <w:r>
        <w:rPr>
          <w:b/>
        </w:rPr>
        <w:t>E. 3</w:t>
      </w:r>
    </w:p>
    <w:p>
      <w:r>
        <w:t>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w:t>
      </w:r>
    </w:p>
    <w:p>
      <w:r>
        <w:t>- 10/10 -</w:t>
      </w:r>
    </w:p>
    <w:p>
      <w:r>
        <w:t>AC/2192/2019 PAR CES MOTIFS, LE VICE-PRÉSIDENT DE LA COUR : A la forme : Déclare recevable le recours formé par A______ contre la décision rendue le 13 janvier 2021 par la Vice-présidente du Tribunal de première instance dans la cause AC/2192/2019. Au fond : Renvoie la cause à l'Autorité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Liza SANT'ANA LIMA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