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DAAJ/48/2018 vom 25. Januar 2018</w:t>
      </w:r>
    </w:p>
    <w:p>
      <w:r>
        <w:t>GE Cour de justice, 2018-01-25, FR</w:t>
      </w:r>
    </w:p>
    <w:p>
      <w:r>
        <w:rPr>
          <w:b/>
        </w:rPr>
        <w:t xml:space="preserve">Quelle: </w:t>
      </w:r>
      <w:r>
        <w:t>https://mcp.opencaselaw.ch/entscheid/ge_gerichte_DAAJ_48_2018</w:t>
      </w:r>
    </w:p>
    <w:p>
      <w:r>
        <w:t>FR: GE_GERICHTE DAAJ/48/2018 du 25 janvier 2018</w:t>
      </w:r>
    </w:p>
    <w:p>
      <w:r>
        <w:t>IT: GE_GERICHTE DAAJ/48/2018 del 25 gennaio 2018</w:t>
      </w:r>
    </w:p>
    <w:p>
      <w:pPr>
        <w:pStyle w:val="Heading2"/>
      </w:pPr>
      <w:r>
        <w:t>Erwägungen</w:t>
      </w:r>
    </w:p>
    <w:p>
      <w:r>
        <w:rPr>
          <w:b/>
        </w:rPr>
        <w:t>E. 20</w:t>
      </w:r>
    </w:p>
    <w:p>
      <w:r>
        <w:t>février 2013, l'augmentation du prêt hypothécaire n'est pas une alternative concevable en l'occurrence, ce que la banque a exprimé par courriel du 20 novembre 2017, au vu des particularités suivantes, soit la mise en vente de la villa et les nombreuses poursuites dirigées à l'encontre de l'intimé. Par conséquent, c'est avec raison que le Vice-président du Tribunal civil, en sus de l'exonération de l'intimé de fournir l'avance de frais initiale dans l'action en annulation de poursuite, l'a provisoirement dispensé de l'obligation de fournir des sûretés en garantie des dépens.</w:t>
      </w:r>
    </w:p>
    <w:p>
      <w:r>
        <w:t>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AC/939/2016 PAR CES MOTIFS, LE VICE-PRÉSIDENT DE LA COUR : A la forme : Déclare recevable le recours formé par A______ et B______ contre la décision rendue le 25 janvier 2018 par le Vice-président du Tribunal civil dans la cause AC/939/2016. Au fond : Le rejette. Déboute A______ et B______ de toutes autres conclusions. Dit qu'il n'est pas perçu de frais judiciaires pour le recours, ni alloué de dépens. Notifie une copie de la présente décision à A______ et B______ en l'étude de Me Alexandre KIRSCHMANN et de Me Adrian VESER (art. 137 CPC). Notifie une copie de la présente décision à C______ en l'étude de Me Sébastien DESFAYES (art. 137 PC).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