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DAAJ/47/2016 vom 18. Februar 2016</w:t>
      </w:r>
    </w:p>
    <w:p>
      <w:r>
        <w:t>GE Cour de justice, 2016-02-18, FR</w:t>
      </w:r>
    </w:p>
    <w:p>
      <w:r>
        <w:rPr>
          <w:b/>
        </w:rPr>
        <w:t xml:space="preserve">Quelle: </w:t>
      </w:r>
      <w:r>
        <w:t>https://mcp.opencaselaw.ch/entscheid/ge_gerichte_DAAJ_47_2016</w:t>
      </w:r>
    </w:p>
    <w:p>
      <w:r>
        <w:t>FR: GE_GERICHTE DAAJ/47/2016 du 18 février 2016</w:t>
      </w:r>
    </w:p>
    <w:p>
      <w:r>
        <w:t>IT: GE_GERICHTE DAAJ/47/2016 del 18 febbraio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142 al. 3 CPC et 11 RAJ).</w:t>
      </w:r>
    </w:p>
    <w:p>
      <w:r>
        <w:rPr>
          <w:b/>
        </w:rPr>
        <w:t>E. 1.2</w:t>
      </w:r>
    </w:p>
    <w:p>
      <w:r>
        <w:t>En l'espèce, sous réserve du ch. 1.3 ci-dessous, le recours est recevable pour avoir été interjeté dans le délai utile et en la forme écrite prescrite par la loi.</w:t>
      </w:r>
    </w:p>
    <w:p>
      <w:r>
        <w:rPr>
          <w:b/>
        </w:rPr>
        <w:t>E. 1.3</w:t>
      </w:r>
    </w:p>
    <w:p>
      <w:r>
        <w:t>Selon un principe général de procédure, les conclusions en constatation de droit ne sont recevables que lorsque des conclusions condamnatoires ou formatrices sont exclues (ATF 141 II 113 consid. 1.7). Pour ce motif, l'ensemble des conclusions constatatoires formulées par le recourant seront déclarées irrecevables.</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au premier juge de ne pas avoir procédé à une "analyse raisonnable" des chances de succès de son recours contre le jugement de mainlevée.</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- 4/6 -</w:t>
      </w:r>
    </w:p>
    <w:p>
      <w:r>
        <w:t>AC/190/2016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Le créancier qui est au bénéfice d'un jugement exécutoire peut requérir du juge la mainlevée définitive de l'opposition (art. 80 al. 1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 131 III 87 consid. 3.2).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 124 III 501 consid. 3a p. 503).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vertu d'une prescription d'ordre (art. 84 al. 2 LP), le jugement statuant sur une requête de mainlevée doit être communiquée dans les cinq jours à compter de l'audience, si la procédure sommaire d'annulation de l'opposition par la mainlevée est orale (GILLIERON, Commentaire de la loi fédérale sur la poursuite pour dettes et la faillite, 1999, n. 77 ad art. 84).</w:t>
      </w:r>
    </w:p>
    <w:p>
      <w:r>
        <w:t>- 5/6 -</w:t>
      </w:r>
    </w:p>
    <w:p>
      <w:r>
        <w:t>AC/190/2016</w:t>
      </w:r>
    </w:p>
    <w:p>
      <w:r>
        <w:rPr>
          <w:b/>
        </w:rPr>
        <w:t>E. 2.3</w:t>
      </w:r>
    </w:p>
    <w:p>
      <w:r>
        <w:t>En l'espèce, pour peu qu'on le comprenne, le recourant reproche au Vice-président du Tribunal civil de ne pas avoir examiné les chances de succès de deux griefs formulés dans son recours, soit la violation de son droit d'être entendu et la question de savoir si le TPAE pouvait le condamner à un émolument de procédure malgré l'art. 81 al. 1 LaCC, selon lequel la procédure en matière de protection de l'enfant est gratuite. Le grief tiré d'une prétendue violation du droit d'être entendu semble a priori infondé, puisque la pièce produite par le recourant lors de l'audience du 20 novembre 2015 était irrelevante, étant précisé que le juge n'a pas à discuter tous les moyens invoqués par les parties et qu'il ne doit examiner que les problèmes pertinents (cf. ATF 133 III 439 consid. 3.). Par ailleurs, le second grief du recourant paraît dénué de pertinence, dès lors que le juge de la mainlevée n'a pas à revoir le bien-fondé du jugement exécutoire qui lui est soumis comme titre de mainlevée. Le Vice-président du Tribunal civil n'a donc pas violé le droit en ne traitant pas de ces deux questions. Concernant le grief soulevé en lien avec l'art. 84 al. 2 LP, il est peu vraisemblable que l'inobservation du délai d'ordre prévu par cette disposition ait des effets sur la validité du jugement de mainlevée. Compte tenu de ce qui précède, c'est à bon droit que le Vice-président du Tribunal civil a refusé d'octroyer l'assistance juridique au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 judiciaire, notamment au vu du caractère simple et non formel de cette procédure (arrêts publiés DAAJ/34/2013 du 30 avril 2013 consid. 3 ; DAAJ/5/2015 du 5 février 2015 consid. 4). * * * * *</w:t>
      </w:r>
    </w:p>
    <w:p>
      <w:r>
        <w:t>- 6/6 -</w:t>
      </w:r>
    </w:p>
    <w:p>
      <w:r>
        <w:t>AC/190/2016 PAR CES MOTIFS, LE VICE-PRÉSIDENT DE LA COUR : A la forme : Déclare recevable le recours formé par A______ contre la décision rendue le 18 février 2016 par le Vice-président du Tribunal civil dans la cause AC/190/2016. Au fond : Le rejette. Déboute A______ de toutes autres conclusions. Dit qu'il n'est pas perçu de frais judiciaires pour le recours, ni alloué de dépens.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