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DAAJ/46/2020 vom 16. Juni 2020</w:t>
      </w:r>
    </w:p>
    <w:p>
      <w:r>
        <w:t>GE Cour de justice, 2020-06-16, FR</w:t>
      </w:r>
    </w:p>
    <w:p>
      <w:r>
        <w:rPr>
          <w:b/>
        </w:rPr>
        <w:t xml:space="preserve">Quelle: </w:t>
      </w:r>
      <w:r>
        <w:t>https://mcp.opencaselaw.ch/entscheid/ge_gerichte_DAAJ_46_2020</w:t>
      </w:r>
    </w:p>
    <w:p>
      <w:r>
        <w:t>FR: GE_GERICHTE DAAJ/46/2020 du 16 juin 2020</w:t>
      </w:r>
    </w:p>
    <w:p>
      <w:r>
        <w:t>IT: GE_GERICHTE DAAJ/46/2020 del 16 giugno 2020</w:t>
      </w:r>
    </w:p>
    <w:p>
      <w:pPr>
        <w:pStyle w:val="Heading2"/>
      </w:pPr>
      <w:r>
        <w:t>Erwägungen</w:t>
      </w:r>
    </w:p>
    <w:p>
      <w:r>
        <w:rPr>
          <w:b/>
        </w:rPr>
        <w:t>E. 1.1</w:t>
      </w:r>
    </w:p>
    <w:p>
      <w:r>
        <w:t>La décision entreprise est sujette à recours auprès de la présidente de la Cour de justice en tant qu'elle refuse l’extension de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- 4/7 -</w:t>
      </w:r>
    </w:p>
    <w:p>
      <w:r>
        <w:t>AC/4206/2018</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3.3.1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- 5/7 -</w:t>
      </w:r>
    </w:p>
    <w:p>
      <w:r>
        <w:t>AC/4206/2018</w:t>
      </w:r>
    </w:p>
    <w:p>
      <w:r>
        <w:rPr>
          <w:b/>
        </w:rPr>
        <w:t>E. 3.1.2</w:t>
      </w:r>
    </w:p>
    <w:p>
      <w:r>
        <w:t>Lorsque le bail est de durée indéterminée, chaque partie est en principe libre de résilier le contrat en respectant les délai et terme de congé. La résiliation ordinaire du bail ne suppose pas l'existence d'un motif de résiliation particulier (arrêt du TF 4A_694/2016 du 4 mai 2017). La seule limite à la liberté contractuelle des parties découle des règles de la bonne foi: lorsque le bail porte sur une habitation ou un local commercial, le congé est annulable lorsqu'il contrevient aux règles de la bonne foi (art. 271 al. 1 CO). Le congé doit être considéré comme abusif s'il ne répond à aucun intérêt objectif, sérieux et digne de protection. Est abusif le congé purement chicanier dont le motif n'est manifestement qu'un prétexte (ATF 120 II 31).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120 II 105; arrêt du TF 4A_623/2010 du 2 février 2011). Celui qui donne le congé doit ainsi au moins rendre vraisemblables les motifs du congé (arrêts du TF 4A_518/2010 du 16 décembre 2010 et 4A_575/2008 du 19 février 2009).</w:t>
      </w:r>
    </w:p>
    <w:p>
      <w:r>
        <w:rPr>
          <w:b/>
        </w:rPr>
        <w:t>E. 3.1.3</w:t>
      </w:r>
    </w:p>
    <w:p>
      <w:r>
        <w:t>Chaque partie doit, si la loi ne prescrit le contraire, prouver les faits qu’elle allègue pour en déduire son droit (art. 8 CC). Le juge enfreint l'art. 8 CC s'il tient pour exactes les allégations non prouvées d'une partie, nonobstant leur contestation par l'autre (ATF 130 III 591 consid. 5.4; arrêt du Tribunal fédéral 4A_683/2010 du 22 novembre 2011 consid. 4.1). En revanche, l'art. 8 CC ne prescrit pas les moyens par lesquels l'état de fait doit être établi et comment les preuves doivent être appréciées (ATF 127 III 519 consid. 2a; ATF 128 III 22 consid. 2d; arrêt du Tribunal fédéral 4A_683/2010 du 22 novembre 2011 consid. 4.1). L'art. 8 CC n'exclut ni la preuve par indices, ni l'appréciation anticipée des preuves, le juge pouvant rejeter des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Lorsque l'appréciation des preuves convainc le juge qu'une allégation de fait a été prouvée ou réfutée, la question de la répartition du fardeau de la preuve ne se pose plus et le grief de violation de l'art. 8 CC devient sans objet (ATF 143 III 1 consid. 4.1; ATF 122 III 219 consid. 3c).</w:t>
      </w:r>
    </w:p>
    <w:p>
      <w:r>
        <w:rPr>
          <w:b/>
        </w:rPr>
        <w:t>E. 3.1.4</w:t>
      </w:r>
    </w:p>
    <w:p>
      <w:r>
        <w:t>Selon l’art. 157 CPC, le tribunal établit sa conviction par une libre appréciation des preuves administrées. L’appréciation des preuves par le juge consiste, en tenant compte du degré de la preuve exigé, à soupeser le résultat des différents moyens de preuves administrés et à décider s'il est intimement convaincu que le fait s'est produit, et partant, s'il peut le retenir</w:t>
      </w:r>
    </w:p>
    <w:p>
      <w:r>
        <w:t>- 6/7 -</w:t>
      </w:r>
    </w:p>
    <w:p>
      <w:r>
        <w:t>AC/4206/2018 comme prouvé (arrêt du Tribunal fédéral 5A_812/2015 du 6 septembre 2015 consid. 5.2). La preuve par indice n’est pas la preuve du fait directement pertinent, mais d'un autre fait qui permet cependant de conclure à l'existence du fait pertinent. Il s'agit de l'appréciation des preuves (au sens de l'art. 157 CPC) et non de l'art. 8 CC (MARRO, Kurzkommentar Schweizerisches Zivilgesetzbuch, n. 10 ad art. 8CC).</w:t>
      </w:r>
    </w:p>
    <w:p>
      <w:r>
        <w:rPr>
          <w:b/>
        </w:rPr>
        <w:t>E. 3.2</w:t>
      </w:r>
    </w:p>
    <w:p>
      <w:r>
        <w:t>En l'espèce, devant la Vice-présidente du Tribunal de première instance, la recourante a indiqué qu’elle entendait appeler de la décision du Tribunal des baux et loyers au motif que ce dernier ne pouvait pas retenir qu’elle avait agressé le concierge puisqu'aucun témoin n'avait pu le confirmer. La Vice-présidente du Tribunal de première instance a retenu que l’ensemble des circonstances et, notamment, le certificat médical produit par le concierge, permettait au Tribunal des baux et loyers de tenir pour vraisemblable que l’agression avait eu lieu, et qu’ainsi l’appel qu’entendait former la recourante avait peu de chances de succès. Dans le cadre du présent recours, la recourante n’explique pas en quoi la décision de la Vice-présidente du Tribunal de première instance serait critiquable. Son écriture constitue en réalité l’acte d’appel qu’elle entend déposer devant la Chambre d’appel des baux et loyers puisqu’elle ne fait que critiquer le jugement du Tribunal des baux et loyers et non la décision de la Vice-présidente du Tribunal de première instance. La recourante n’explique ainsi pas pourquoi c’est à tort que la Vice-présidente du Tribunal de première instance a considéré que la Chambre d’appel des baux et loyers retiendrait que la preuve par indice de la vraisemblance de la bonne foi du bailleur avait été établie, étant rappelé que c’était à la recourante d’amener la preuve de la mauvaise foi du bailleur, ce dernier ne devant rendre sa bonne foi que vraisemblable. Or, l’ensemble des éléments apportés à la procédure, notamment le comportement régulièrement inacceptable de la recourante envers les divers concierges et le certificat médical produit par le concierge, permettent, a priori, de tenir pour vraisemblable que la Chambre d’appel des baux et loyers admettra que le Tribunal des baux et loyers avait des éléments suffisants pour forger sa conviction et retenir que la recourante avait agressé le concierge. Il est ainsi vraisemblable que la Cour confirmera le jugement du Tribunal des baux et loyers. L’appel qu’entend former la recourante a ainsi très peu de chances de succès d’aboutir. Le recours sera donc rejeté.</w:t>
      </w:r>
    </w:p>
    <w:p>
      <w:r>
        <w:rPr>
          <w:b/>
        </w:rPr>
        <w:t>E. 4</w:t>
      </w:r>
    </w:p>
    <w:p>
      <w:r>
        <w:t>Sauf exceptions non réalisées en l'espèce, il n'est pas perçu de frais judiciaires pour la procédure d'assistance juridique (art. 119 al. 6 CPC). Par ailleurs, il n'y a pas lieu à l'octroi de dépens, vu l'issue du recours. * * * * *</w:t>
      </w:r>
    </w:p>
    <w:p>
      <w:r>
        <w:t>- 7/7 -</w:t>
      </w:r>
    </w:p>
    <w:p>
      <w:r>
        <w:t>AC/4206/2018 PAR CES MOTIFS, LE VICE-PRÉSIDENT DE LA COUR : A la forme : Déclare recevable le recours formé le 27 mars 2020 par A______ contre la décision rendue le 12 mars 2020 par la Vice-présidente du Tribunal de première instance dans la cause AC/4206/2018. Au fond : Le rejette. Déboute A______ de toutes autres conclusions. Dit qu'il n'est pas perçu de frais judiciaires pour le recours, ni alloué de dépens. Notifie une copie de la présente décision à A______ dans les bureaux de B______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