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DAAJ/44/2022 vom 22. Dezember 2021</w:t>
      </w:r>
    </w:p>
    <w:p>
      <w:r>
        <w:t>GE Cour de justice, 2021-12-22, FR</w:t>
      </w:r>
    </w:p>
    <w:p>
      <w:r>
        <w:rPr>
          <w:b/>
        </w:rPr>
        <w:t xml:space="preserve">Quelle: </w:t>
      </w:r>
      <w:r>
        <w:t>https://mcp.opencaselaw.ch/entscheid/ge_gerichte_DAAJ_44_2022</w:t>
      </w:r>
    </w:p>
    <w:p>
      <w:r>
        <w:t>FR: GE_GERICHTE DAAJ/44/2022 du 22 décembre 2021</w:t>
      </w:r>
    </w:p>
    <w:p>
      <w:r>
        <w:t>IT: GE_GERICHTE DAAJ/44/2022 del 22 dicembre 2021</w:t>
      </w:r>
    </w:p>
    <w:p>
      <w:pPr>
        <w:pStyle w:val="Heading2"/>
      </w:pPr>
      <w:r>
        <w:t>Erwägungen</w:t>
      </w:r>
    </w:p>
    <w:p>
      <w:r>
        <w:rPr>
          <w:b/>
        </w:rPr>
        <w:t>E. 1.1</w:t>
      </w:r>
    </w:p>
    <w:p>
      <w:r>
        <w:t>La décision entreprise est sujette à recours auprès de la présidente de la Cour de justice en tant qu'elle refuse un changement d'avocat (art. 14 RAJ;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Le recourant fait grief à la vice-présidente du Tribunal de première instance de ne pas avoir pris en considération les reproches en lien avec la procédure pénale pour apprécier la rupture du lien de confiance alléguée. En outre, les chances de succès de l’appel formé contre le jugement du 15 octobre 2021 n’avaient pas été examinées, la vice-présidente du Tribunal de première instance s’étant limitée à relever que l’avocat était « dominus litis ». Or, l’appréciation des chances de succès faite par son conseil était erronée et, partant, propre à rompre le rapport de confiance.</w:t>
      </w:r>
    </w:p>
    <w:p>
      <w:r>
        <w:t>- 5/8 -</w:t>
      </w:r>
    </w:p>
    <w:p>
      <w:r>
        <w:t>AC/3402/2018</w:t>
      </w:r>
    </w:p>
    <w:p>
      <w:r>
        <w:rPr>
          <w:b/>
        </w:rPr>
        <w:t>E. 2.1.1</w:t>
      </w:r>
    </w:p>
    <w:p>
      <w:r>
        <w:t>A l'instar du défenseur d'office en matière pénale, le conseil juridique commis d'office n'exerce pas un mandat privé, mais accomplit une tâche de droit public, à laquelle il ne peut se soustraire et qui lui confère une prétention de droit public à être rémunéré équitablement dans le cadre des normes cantonales applicables (cf. art. 122 CPC; ATF 141 III 56 consid. 3.2.2 et les références citées). En dépit de ce rapport particulier avec l'Etat, il n'est obligé que par les intérêts de l'assisté, dans les limites toutefois de la loi et des règles de sa profession. Sous cet angle, son activité ne se distingue pas de celle d'un mandataire de choix (ATF 141 III 56 consid. 3.2.2 et les références citées). Si le conseil d'office fournit ainsi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(ATF 141 III 56 consid. 3.2.2 et les références citées). C'est à cet effet que l'Etat désigne le conseil juridique d'office - qui est tenu d'accepter le mandat d'assistance (art. 12 let. g LLCA) -, est seul compétent pour le délier de cette fonction et décide de sa rémunération, qui peut être inférieure aux honoraires d'un représentant de choix. Sur ce dernier point, le bénéficiaire de l'assistance judiciaire n'est pas lié au mandataire d'office par une obligation de rémunération (ATF 141 III 56 consid. 3.2.2).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 consid. 3.2.2 et les références citées). Selon l'art. 14 RAJ, le relief d'une nomination, avec ou sans nomination d'un nouveau conseil juridique, n'est accordé ou ordonné d'office que pour de justes motifs, tels que : a) la fin du stage de l'avocat ou l'absence prolongée du conseil juridique; b) une cause nécessitant du conseil juridique des compétences ou une expérience particulières; c) la rupture de la relation de confiance.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Le justiciable n'a en effet pas un droit inconditionnel au choix de son défenseur d'office (ATF 114 Ia 101 consid. 3; arrêt du Tribunal fédéral 5A_643/2010 du 11 janvier 2011 consid. 4.3).</w:t>
      </w:r>
    </w:p>
    <w:p>
      <w:r>
        <w:rPr>
          <w:b/>
        </w:rPr>
        <w:t>E. 2.1.2</w:t>
      </w:r>
    </w:p>
    <w:p>
      <w:r>
        <w:t>Selon l'article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Le sujet de la responsabilité est l’employeur. Au sens de l’art. 55 CO, l’employeur est toute personne physique ou morale qui, dans ses affaires professionnelles ou</w:t>
      </w:r>
    </w:p>
    <w:p>
      <w:r>
        <w:t>- 6/8 -</w:t>
      </w:r>
    </w:p>
    <w:p>
      <w:r>
        <w:t>AC/3402/2018 domestiques, charge un subordonné, appelé auxiliaire, d’accomplir une tâche. En définissant ainsi l’employeur, on comprend que l’auxiliaire est une personne physique (ou morale) dans un rapport de subordination par rapport à l’employeur. Cette subordination (personnelle, économique, organisationnelle) de l’auxiliaire par rapport à l’employeur est l’élément-clé de la mise en œuvre de l’art. 55 CO. Il incombe à la victime de le prouver. La nature de ce rapport ne dépend pas de la question de savoir si l’auxiliaire reçoit ou non une rémunération ou s’il existe un contrat entre l’employeur et l’auxiliaire. Seule est donc déterminante la relation de fait qui existe entre eux (WERRO/PERRITAZ, in Commentaire romand, Code des obligations II, 2021, no. 7 ad art. 55 CO). Aux termes de l’art. 101 al. 1 CO, celui ou celle qui, même d'une manière licite, confie à des auxiliaires, tels que des personnes vivant en ménage avec lui ou les travailleurs ou travailleuses, le soin d'exécuter une obligation ou d'exercer un droit dérivant d'une obligation, est responsable envers l'autre partie du dommage qu'ils ou elles causent dans l'accomplissement de leur travail. L’application de cette disposition suppose un rapport d'obligation préalable entre la personne débitrice et le lésé (ATF 145 III 409 consid. 5.8.1).</w:t>
      </w:r>
    </w:p>
    <w:p>
      <w:r>
        <w:rPr>
          <w:b/>
        </w:rPr>
        <w:t>E. 2.2</w:t>
      </w:r>
    </w:p>
    <w:p>
      <w:r>
        <w:t>En l'espèce, le recourant se prévaut de prétendus manquements effectués par son ancien conseil dans la procédure pénale, sans toutefois les préciser, se limitant à renvoyer au résumé contenu dans la décision attaquée. Or, les allégués du recourant, formulés en première instance, au sujet d’une prétendue inactivité fautive de son ancien avocat, du refus infondé de celui-ci de faire un recours en 2018 et d’une prétendue omission répréhensible de demander des enregistrements de surveillance manquent de précision et ne sont étayés par aucune pièce au dossier, de sorte qu’ils ne peuvent, en tout état de cause, pas être pris en considération. Le recourant invoque également le refus injustifié de son ancien conseil de faire appel du jugement du Tribunal de première instance du 15 octobre 2021, dès lors qu’une telle action ne serait, selon le recourant, pas dénuée de chances de succès. Sur ce point, il se prévaut des déclarations d’B______ faites à la police et au Tribunal de police les 11 novembre 2017 et 4 juillet 2018, selon lesquelles il était intervenu au moment des faits litigieux comme videur, voire hôte d’accueil, à la demande du « manager » des lieux, celui-ci étant son chef. B______ était donc l’auxiliaire de C______ SA. La qualité d’auxiliaire était d’autant plus acquise que C______ SA lui avait confié, le jour des faits, une tâche résultant de son obligation légale de veiller au maintien de l’ordre dans son établissement. Dans son jugement du 15 octobre 2021, le Tribunal de première instance a tenu compte des déclarations invoquées par le recourant, mais il a considéré que les autres éléments au dossier venaient conforter la thèse selon laquelle B______ était bénévole pour le compte de l'association d'étudiants F______ et qu’il n'avait jamais été employé de C______ SA. Il s’est notamment fondé sur le fait qu’B______ ne figurait pas sur la liste des employés de C______ SA en 2017, que l'une des employées avait attesté qu'il</w:t>
      </w:r>
    </w:p>
    <w:p>
      <w:r>
        <w:t>- 7/8 -</w:t>
      </w:r>
    </w:p>
    <w:p>
      <w:r>
        <w:t>AC/3402/2018 n'avait jamais été employé de C______ SA, et que l'un des membres de l'association F______, en charge de gérer les bénévoles de celle-ci, avait confirmé qu’B______ était bénévole lors des soirées organisées régulièrement par l’association aux « C______ ». Le fait qu’B______ avait appelé D______ « directeur » ou « chef » n’était, dans ce contexte, pas déterminant, E______ ayant au demeurant indiqué que tout le monde l’appelait ainsi. Le recourant ne donne aucune argumentation pour remettre en cause la force probante de ces pièces et témoignages, de sorte que les déclarations dont il se prévaut n’apparaissent pas suffisantes pour établir la qualité d’auxiliaire d’B______ au sens de l’art. 55 CO. Par ailleurs, l’application de l’art. 101 CO suppose un rapport d'obligation préalable entre C______ SA et le recourant. Or, cette condition fait défaut, C______ SA n’ayant qu’un devoir général de veiller au maintien de l’ordre dans son établissement (art. 24 al. 1 de la loi sur la restauration, le débit de boissons, l’hébergement et le divertissement – I 2 22). Dans ces conditions, un appel contre ledit jugement apparaît a priori dénué de chances de succès, ce que l’autorité de céans a déjà relevé dans sa décision du 22 février 2022. Ainsi, il ne peut être reproché à l’ancien conseil du recourant d’avoir manqué à ses devoirs en estimant précisément qu’un tel appel serait voué à l’échec. C'est donc à juste titre que l’autorité de première instance a refusé le changement d'avocat sollicité au motif que les conditions posées par l'art. 14 RAJ n'étaient pas réalisées, le recourant n'ayant pas rendu vraisemblable que ses intérêts auraient été mal défendus par G______, avocat de choix, désigné d'office.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- 8/8 -</w:t>
      </w:r>
    </w:p>
    <w:p>
      <w:r>
        <w:t>AC/3402/2018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