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DAAJ/44/2017 vom 27. Februar 2017</w:t>
      </w:r>
    </w:p>
    <w:p>
      <w:r>
        <w:t>GE Cour de justice, 2017-02-27, FR</w:t>
      </w:r>
    </w:p>
    <w:p>
      <w:r>
        <w:rPr>
          <w:b/>
        </w:rPr>
        <w:t xml:space="preserve">Quelle: </w:t>
      </w:r>
      <w:r>
        <w:t>https://mcp.opencaselaw.ch/entscheid/ge_gerichte_DAAJ_44_2017</w:t>
      </w:r>
    </w:p>
    <w:p>
      <w:r>
        <w:t>FR: GE_GERICHTE DAAJ/44/2017 du 27 février 2017</w:t>
      </w:r>
    </w:p>
    <w:p>
      <w:r>
        <w:t>IT: GE_GERICHTE DAAJ/44/2017 del 27 febbraio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les trois pièces nouvellement produites par le recourant et les allégués de faits dont il n'a pas fait état en première instance ne seront pas pris en considération.</w:t>
      </w:r>
    </w:p>
    <w:p>
      <w:r>
        <w:rPr>
          <w:b/>
        </w:rPr>
        <w:t>E. 3</w:t>
      </w:r>
    </w:p>
    <w:p>
      <w:r>
        <w:t>Le recourant reproche à la Vice-présidente du Tribunal civil d’avoir considéré que les chances de succès de son action semblaient extrêmement faibles, voire nulles.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in JdT 2006 IV p. 47).</w:t>
      </w:r>
    </w:p>
    <w:p>
      <w:r>
        <w:t>- 5/8 -</w:t>
      </w:r>
    </w:p>
    <w:p>
      <w:r>
        <w:t>AC/287/2017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voie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Le fait que des allégués pertinents soumis à la preuve sont dénués de chances de succès ne peut être admis qu'exceptionnellement avant administration complète des preuves. Toutefois, si les perspectives de succès d’une demande ou d’un recours dépendent en premier lieu de savoir si le requérant pourra apporter la preuve de ces allégués, le tribunal doit pouvoir évaluer les perspectives de succès de l’administration des preuves par une appréciation anticipée, sur la base du dossier et du comportement des parties dans la procédure. L’appréciation anticipée des preuves ne saurait être distinguée selon que la charge de la preuve incombe au demandeur ou au défendeur. Même lorsque la partie adverse en a la charge, un plaideur disposant des moyens nécessaires ne prendrait pas part à un procès, après analyse raisonnable, s’il ne peut sérieusement douter que la partie adverse apportera la preuve qui lui incombe. Dans le cadre de l’appréciation anticipée des preuves, le tribunal peut notamment se fonder sur les éléments et les preuves résultant d’autres procédures (arrêt du Tribunal fédéral 4A_316/2013, 4A_318/2013 du 21 août 2013 consid. 7).</w:t>
      </w:r>
    </w:p>
    <w:p>
      <w:r>
        <w:rPr>
          <w:b/>
        </w:rPr>
        <w:t>E. 3.2</w:t>
      </w:r>
    </w:p>
    <w:p>
      <w:r>
        <w:t>Un contrat n'est valablement noué que si le consentement donné était dépourvu de vices. Lorsque la volonté d'une personne a été gravement viciée au moment où elle s'est engagée, elle doit pouvoir se libérer.</w:t>
      </w:r>
    </w:p>
    <w:p>
      <w:r>
        <w:rPr>
          <w:b/>
        </w:rPr>
        <w:t>E. 3.2.1</w:t>
      </w:r>
    </w:p>
    <w:p>
      <w:r>
        <w:t>La partie induite à contracter par le dol de l'autre n'est pas obligée, même si son erreur n'est pas essentielle (art. 28 al. 1 CO). Le dol est une tromperie intentionnelle (affirmation de faits faux, dissimulation de faits vrais ou entretien d'une erreur par dissimulation) qui détermine la dupe, dans l'erreur, à accomplir un acte juridique (ATF 136 III 528 consid. 3.4.2 et les références citées).</w:t>
      </w:r>
    </w:p>
    <w:p>
      <w:r>
        <w:rPr>
          <w:b/>
        </w:rPr>
        <w:t>E. 3.2.2</w:t>
      </w:r>
    </w:p>
    <w:p>
      <w:r>
        <w:t>La partie ayant contracté sous l'empire d'une crainte fondée (menace d'un danger grave et imminent pour elle-même ou l'un de ses proches, dans sa vie, sa personne, son honneur ou ses biens) que lui aurait inspirée sans droit l'autre partie ou un tiers n'est point obligée (art. 29 al. 1 et 30 al. 1 CO).</w:t>
      </w:r>
    </w:p>
    <w:p>
      <w:r>
        <w:t>- 6/8 -</w:t>
      </w:r>
    </w:p>
    <w:p>
      <w:r>
        <w:t>AC/287/2017</w:t>
      </w:r>
    </w:p>
    <w:p>
      <w:r>
        <w:rPr>
          <w:b/>
        </w:rPr>
        <w:t>E. 3.2.3</w:t>
      </w:r>
    </w:p>
    <w:p>
      <w:r>
        <w:t>Il appartient à la partie trompée et menacée de prouver l'existence d'une tromperie et d'une menace et de l'effet causal de celles-ci sur la conclusion du contrat (pour le dol: ATF 129 III 320 consid. 6.3, in SJ 2004 I p. 33; pour la crainte fondée: arrêt du Tribunal fédéral 4A_259/2009 du 5 août 2009 consid. 2.1.1).</w:t>
      </w:r>
    </w:p>
    <w:p>
      <w:r>
        <w:rPr>
          <w:b/>
        </w:rPr>
        <w:t>E. 3.2.4</w:t>
      </w:r>
    </w:p>
    <w:p>
      <w:r>
        <w:t>Le contrat entaché de dol ou conclu sous l'emprise d'une crainte fondée est tenu pour ratifié lorsque la partie qu'il n'oblige point a laissé s'écouler une année sans déclarer à l'autre sa résolution de ne pas le maintenir, ou sans répéter ce qu'elle a payé (art. 31 al. 1 CO).</w:t>
      </w:r>
    </w:p>
    <w:p>
      <w:r>
        <w:rPr>
          <w:b/>
        </w:rPr>
        <w:t>E. 3.3</w:t>
      </w:r>
    </w:p>
    <w:p>
      <w:r>
        <w:t>En l'espèce, le recourant a sollicité l'assistance juridique pour agir en annulation de sa déclaration de renonciation contenue dans le pacte successoral du 23 juin 1993, ainsi qu'en restitution de la part réservataire lui revenant après rétablissement de la propriété antérieure ensuite du transfert d'actions intervenu sans cause légitime. A l'instar du Tribunal, l'Autorité de céans considère toutefois que le recourant n'a pas offert de prouver ses allégués, se contentant d'affirmer, sans aucunement le rendre vraisemblable, qu'une personne raisonnable n'aurait pas signé le pacte successoral. Or, le simple fait qu'un contrat avantage une partie au détriment d'une autre ne signifie pas nécessairement que cette dernière a été victime d'une emprise déterminante d'un tiers sur sa volonté. En effet, chacun est libre de décider de la conclusion ou non d'un contrat, d'en déterminer les éléments essentiels et accessoires et de choisir son partenaire (principe de la liberté contractuelle). Il n'y a pas, en droit suisse, d'obligation de conclure à un prix «juste» (cf. ATF 113 II 209). En revanche, diverses formes d'abus sont réprimées, en particulier l'exploitation de la situation de faiblesse d'une partie (gêne, légèreté ou inexpérience) pour un tirer un avantage matériel indu, ce qui n'est, en l'occurrence, ni allégué ni a fortiori offert en preuve. En outre, les allégations du recourant sont contradictoires, puisqu'il soutient n'avoir jamais résidé dans l'appartement sis à ______ (GE) dont le paiement du loyer incombait, selon lui, à ses frères selon les termes du pacte successoral, mais admet avoir reçu la somme totale de 55'580 fr. à titre de loyer. En tout état de cause, les allégations du recourant s'agissant du dol ne reposent, a priori, sur aucun élément probant, puisqu'il n'existe pas – contrairement à ce qu'il soutient –, de faisceau d'indices en faveur d'un abandon de créance de feu son père en faveur de ses frères, les titres produits à cet effet permettant uniquement de retenir l'existence d'une créance, qui a progressivement diminué de 1988 à 1994. Le recourant n'expose pas non plus en quoi le comportement, par hypothèse dolosif, de sa famille aurait influencé d'une façon causale, comme condition sine qua non, sa volonté de contracter, si tant est qu'il faille retenir – ce qui est incertain – que le sort de cette créance lui a été caché lors de la conclusion du pacte successoral.</w:t>
      </w:r>
    </w:p>
    <w:p>
      <w:r>
        <w:t>- 7/8 -</w:t>
      </w:r>
    </w:p>
    <w:p>
      <w:r>
        <w:t>AC/287/2017 Il en va de même des pressions et contraintes dont le recourant soutient avoir fait l'objet au moment de la signature du contrat et qui l'auraient forcé à obtempérer, sa version des faits (menace d'expulsion du logement familial et peur d'échouer aux examens universitaires) n'étant corroborée par aucun élément preuve, ce que le recourant admet lui-même. En outre, la déclaration d'invalidation de l'accord pour crainte fondée a été formulée près de 25 ans après la conclusion du pacte successoral, soit de nombreuses années après la dissipation de la crainte fondée, puisque le recourant ne réside plus au logement familial et n'est plus étudiant universitaire depuis longtemps. Il résulte des considérations qui précèdent que c'est à bon droit que la Vice-présidente du Tribunal civil a refusé d'octroyer l'assistance juridique au recourant, compte tenu des faibles chances de succès de son action. Partant, le recours, infondé, sera rejeté.</w:t>
      </w:r>
    </w:p>
    <w:p>
      <w:r>
        <w:rPr>
          <w:b/>
        </w:rPr>
        <w:t>E. 4</w:t>
      </w:r>
    </w:p>
    <w:p>
      <w:r>
        <w:t>Sauf exceptions non réalisées en l'espèce, il n'est pas perçu de frais judiciaires pour la procédure d'assistance juridique (art. 119 al. 6 CPC). * * * * *</w:t>
      </w:r>
    </w:p>
    <w:p>
      <w:r>
        <w:t>- 8/8 -</w:t>
      </w:r>
    </w:p>
    <w:p>
      <w:r>
        <w:t>AC/287/2017 PAR CES MOTIFS, LE VICE-PRÉSIDENT DE LA COUR : A la forme : Déclare recevable le recours formé par A______ contre la décision rendue le 27 février 2017 par la Vice-présidente du Tribunal civil dans la cause AC/287/2017.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