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DAAJ/43/2017 vom 14. März 2017</w:t>
      </w:r>
    </w:p>
    <w:p>
      <w:r>
        <w:t>GE Cour de justice, 2017-03-14, FR</w:t>
      </w:r>
    </w:p>
    <w:p>
      <w:r>
        <w:rPr>
          <w:b/>
        </w:rPr>
        <w:t xml:space="preserve">Quelle: </w:t>
      </w:r>
      <w:r>
        <w:t>https://mcp.opencaselaw.ch/entscheid/ge_gerichte_DAAJ_43_2017</w:t>
      </w:r>
    </w:p>
    <w:p>
      <w:r>
        <w:t>FR: GE_GERICHTE DAAJ/43/2017 du 14 mars 2017</w:t>
      </w:r>
    </w:p>
    <w:p>
      <w:r>
        <w:t>IT: GE_GERICHTE DAAJ/43/2017 del 14 marzo 2017</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 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(DAAJ/111/2012, consid. 1.2). La juridiction de recours n'entre pas en matière sur un acte ne contenant aucune motivation par laquelle il est possible de discerner en quoi la juridiction inférieure a erré (art. 320 let. a et b CPC). 2.2 En l’espèce, le recours ne respecte pas les conditions de motivation imposées par la loi. En effet, l'acte de recours ne contient pas de motivation suffisante permettant de comprendre en quoi la Vice-présidente du Tribunal civil aurait établi les faits de manière arbitraire et quelle violation de la loi lui est reprochée. En particulier, le recourant ne critique pas la décision attaquée en ce qui concerne sa maîtrise de la langue française et ses connaissances juridiques ni le fait qu’il a d’ores et déjà déposé les actes de recours se rapportant aux procédures pour lesquelles il sollicite l’octroi de l’assistance juridique. S’il persiste à demander qu’un conseil lui soit nommé, il n’explique pas en quoi il s’agirait d’une nécessité. Dans la mesure où l'absence de motivation de l'acte ne constitue pas un vice de forme réparable au sens de l'art. 132 CPC (Hohl, op. cit., n. 3030), il ne peut être entré en matière sur le recours, qui est dès lors déclaré irrecevable.</w:t>
      </w:r>
    </w:p>
    <w:p>
      <w:r>
        <w:t>- 4/5 -</w:t>
      </w:r>
    </w:p>
    <w:p>
      <w:r>
        <w:t>AC/100/2017 Au vu de ce qui précède, il n’est pas nécessaire de traiter la question de savoir si le recours a été déposé dans le délai utile. 2.3 Par surabondance, il sera relevé que même si le recours avait été recevable, il aurait été rejeté. C’est en effet à juste titre que le premier juge a constaté que le recourant maîtrisait parfaitement la langue française. Les recours qu’il a formés auprès de la CJCA comportaient des références juridiques et une argumentation digne d’un juriste. Le premier juge pouvait donc considérer que l’assistance d’un avocat n’était pas nécessaire au recourant pour faire valoir ses droits devant la CJCA.</w:t>
      </w:r>
    </w:p>
    <w:p>
      <w:r>
        <w:rPr>
          <w:b/>
        </w:rPr>
        <w:t>E. 3</w:t>
      </w:r>
    </w:p>
    <w:p>
      <w:r>
        <w:t>Sauf exceptions non réalisées en l'espèce, il n'est pas perçu de frais judiciaires pour la procédure d'assistance juridique (art. 119 al. 6 CPC). * * * * *</w:t>
      </w:r>
    </w:p>
    <w:p>
      <w:r>
        <w:t>- 5/5 -</w:t>
      </w:r>
    </w:p>
    <w:p>
      <w:r>
        <w:t>AC/100/2017 PAR CES MOTIFS, LE VICE-PRÉSIDENT DE LA COUR : A la forme : Déclare irrecevable le recours formé par A______ contre la décision rendue le 14 mars 2017 par la Vice-présidente du Tribunal civil dans la cause AC/100/2017.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La présente décision incidente peut être portée dans les trente jours qui suivent sa notification par-devant le Tribunal fédéral par la voie du recours en matière de droit public (art. 82 ss de la loi fédérale sur le Tribunal fédéral du 17 juin 2005 [LTF; RS 173.110]) si la valeur litigieuse n'est pas inférieure à 15'000 fr. ou par la voie du recours constitutionnel subsidiaire, aux conditions posées par les art. 113 ss LTF, si la valeur litigieuse est inférieure à 15'000 fr.</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