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DAAJ/43/2014 vom 11. April 2014</w:t>
      </w:r>
    </w:p>
    <w:p>
      <w:r>
        <w:t>GE Cour de justice, 2014-04-11, FR</w:t>
      </w:r>
    </w:p>
    <w:p>
      <w:r>
        <w:rPr>
          <w:b/>
        </w:rPr>
        <w:t xml:space="preserve">Quelle: </w:t>
      </w:r>
      <w:r>
        <w:t>https://mcp.opencaselaw.ch/entscheid/ge_gerichte_DAAJ_43_2014</w:t>
      </w:r>
    </w:p>
    <w:p>
      <w:r>
        <w:t>FR: GE_GERICHTE DAAJ/43/2014 du 11 avril 2014</w:t>
      </w:r>
    </w:p>
    <w:p>
      <w:r>
        <w:t>IT: GE_GERICHTE DAAJ/43/2014 del 11 aprile 2014</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À teneur l'art. 326 al. 1 CPC, les allégations de faits et les preuves nouvelles sont irrecevables dans le cadre d'une procédure de recours. Par conséquent, les pièces nouvelles produites par la recourante sont écartées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rPr>
          <w:b/>
        </w:rPr>
        <w:t>E. 3.2</w:t>
      </w:r>
    </w:p>
    <w:p>
      <w:r>
        <w:t>Si la notification d'un acte envoyé sous pli simple ou la date de la notification sont contestées et qu'il existe effectivement un doute à ce sujet, il y a lieu de se fonder sur les déclarations du destinataire de la communication (ATF 136 V 295 consid. 5.9).</w:t>
      </w:r>
    </w:p>
    <w:p>
      <w:r>
        <w:rPr>
          <w:b/>
        </w:rPr>
        <w:t>E. 3.3</w:t>
      </w:r>
    </w:p>
    <w:p>
      <w:r>
        <w:t>En l'espèce, il n'est établi que la demande de renseignements du greffe de l'Assistance juridique expédiée par pli simple le 13 février 2014 soit parvenue à la recourante et il n'est pas davantage établi qu'une seconde demande lui ait été adressée. Il y a donc lieu de se fonder sur les déclarations de la recourante, qui conteste avoir reçu une quelconque demande d'informations de la part du greffe de l'Assistance juridique.</w:t>
      </w:r>
    </w:p>
    <w:p>
      <w:r>
        <w:t>- 4/5 -</w:t>
      </w:r>
    </w:p>
    <w:p>
      <w:r>
        <w:t>AC/1745/2011 Il s'ensuit que la recourante n'a pas eu l'occasion de justifier de sa situation financière avant que la décision litigieuse ne soit prononcée à son encontre. Cette décision consacre dès lors une violation de son droit d'être entendue, laquelle ne saurait être considérée comme subséquemment réparée par l'usage des voies de recours à disposition, les autorités de recours ne disposant en l'occurrence pas d'un pouvoir de cognition complet. Au vu de ce qui précède, le recours est admis. Partant, la décision entreprise est annulée et la cause renvoyée à l'Autorité de première instance pour nouvelle décision dans le respect du droit d'être entendu de la recourante.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 * * * *</w:t>
      </w:r>
    </w:p>
    <w:p>
      <w:r>
        <w:t>- 5/5 -</w:t>
      </w:r>
    </w:p>
    <w:p>
      <w:r>
        <w:t>AC/1745/2011 PAR CES MOTIFS, LA VICE-PRÉSIDENTE DE LA COUR : À la forme : Déclare recevable le recours formé par A______ contre la décision rendue le 11 avril 2014 par le Vice-président du Tribunal civil dans la cause AC/1745/2011. Au fond : Admet le recours et annule la décision entreprise. Cela fait : Renvoie la cause au Vice-président du Tribunal civil pour instruction et nouvelle décision au sens des considérants. Déboute A______ de toutes autres conclusions. Dit qu'il n'est pas perçu de frais judiciaires pour le recours, ni alloué de dépens. Notifie une copie de la présente décision à A______ en l'Étude de Me Julien BROQUET (art. 137 CPC). Siégeant : Madame Marguerite JACOT-DES-COMBES, vice-présidente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