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DAAJ/42/2014 vom 19. März 2014</w:t>
      </w:r>
    </w:p>
    <w:p>
      <w:r>
        <w:t>GE Cour de justice, 2014-03-19, FR</w:t>
      </w:r>
    </w:p>
    <w:p>
      <w:r>
        <w:rPr>
          <w:b/>
        </w:rPr>
        <w:t xml:space="preserve">Quelle: </w:t>
      </w:r>
      <w:r>
        <w:t>https://mcp.opencaselaw.ch/entscheid/ge_gerichte_DAAJ_42_2014</w:t>
      </w:r>
    </w:p>
    <w:p>
      <w:r>
        <w:t>FR: GE_GERICHTE DAAJ/42/2014 du 19 mars 2014</w:t>
      </w:r>
    </w:p>
    <w:p>
      <w:r>
        <w:t>IT: GE_GERICHTE DAAJ/42/2014 del 19 marzo 2014</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29 al. 3 Cst. et art. 117 CPC).</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Un effet rétroactif (ex tunc) ne peut qu'exceptionnellement entrer en considération, par exemple lorsque l'assistance judiciaire a été indûment obtenue en présentant des informations fausses (arrêt du Tribunal fédéral 5A_305/2013 du 19 août 2013 consid. 5.3).</w:t>
      </w:r>
    </w:p>
    <w:p>
      <w:r>
        <w:rPr>
          <w:b/>
        </w:rPr>
        <w:t>E. 3.3</w:t>
      </w:r>
    </w:p>
    <w:p>
      <w:r>
        <w:t>En l'espèce, les réquisits formels ont été respectés, dès lors que le recourant a eu l'occasion de se déterminer à deux reprises avant que la décision de retrait ne soit rendue. Même si le recourant se trouvait à l'étranger du 21 janvier au 26 février 2014, son conseil a répondu aux demandes d'informations du greffe de l'Assistance juridique.</w:t>
      </w:r>
    </w:p>
    <w:p>
      <w:r>
        <w:t>- 5/6 -</w:t>
      </w:r>
    </w:p>
    <w:p>
      <w:r>
        <w:t>AC/104/2014 Par ailleurs, le recourant était de retour en Suisse deux jours avant l'échéance du second délai qui lui avait été imparti, et il n'indique pas pour quelles raisons il aurait été empêché de répondre en personne aux interrogations du greffe précité, s'il l'estimait nécessaire, ou de solliciter la restitution dudit délai. Le recourant n'a fourni aucun document relatif à ses biens immobiliers et n'a pas effectué de traduction des pièces produites en espagnol, malgré une demande expresse du greffe de l'Assistance juridique. Il s'est contenté d'alléguer que lesdits biens ne pouvaient pas être réalisés, sans étayer ce dire d'éléments de preuve. Au contraire, il apparaît que l'épouse du recourant serait disposée à aliéner les biens dont ils sont copropriétaires à C______, un acheteur ayant même offert de les acquérir pour la somme de 50'000 USD. Par ailleurs, le recourant n'expose pas pour quels motifs il lui serait impossible de vendre ou d'hypothéquer l'appartement dont il est l'unique propriétaire à B______. Compte tenu de ce qui précède, c'est sans violer le droit que l'Autorité de première instance a retiré l'assistance juridique du recourant au motif que la condition de l'indigence n'avait jamais été remplie, depuis le jour du dépôt de la demande. Pour le surplus, compte tenu de la jurisprudence précitée, ladite autorité n'a pas violé la loi en retirant l'assistance juridique avec effet rétroactif au jour de son octroi, dès lors que ledit octroi a été obtenu par le recourant en cachant sciemment des informations importantes pour l'établissement de sa situation financière. Partant, le recours, infondé, sera rejeté.</w:t>
      </w:r>
    </w:p>
    <w:p>
      <w:r>
        <w:rPr>
          <w:b/>
        </w:rPr>
        <w:t>E. 4</w:t>
      </w:r>
    </w:p>
    <w:p>
      <w:r>
        <w:t>Sauf exceptions non réalisées en l'espèce, il n'est pas perçu de frais judiciaires pour la procédure d'assistance juridique (art. 119 al. 6 CPC). * * * * *</w:t>
      </w:r>
    </w:p>
    <w:p>
      <w:r>
        <w:t>- 6/6 -</w:t>
      </w:r>
    </w:p>
    <w:p>
      <w:r>
        <w:t>AC/104/2014 PAR CES MOTIFS, LA VICE-PRÉSIDENTE DE LA COUR : À la forme : Déclare recevable le recours formé par A______ contre la décision rendue le 19 mars 2014 par le Vice-président du Tribunal civil dans la cause AC/104/2014.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