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DAAJ/41/2021 vom 18. November 2020</w:t>
      </w:r>
    </w:p>
    <w:p>
      <w:r>
        <w:t>GE Cour de justice, 2020-11-18, FR</w:t>
      </w:r>
    </w:p>
    <w:p>
      <w:r>
        <w:rPr>
          <w:b/>
        </w:rPr>
        <w:t xml:space="preserve">Quelle: </w:t>
      </w:r>
      <w:r>
        <w:t>https://mcp.opencaselaw.ch/entscheid/ge_gerichte_DAAJ_41_2021</w:t>
      </w:r>
    </w:p>
    <w:p>
      <w:r>
        <w:t>FR: GE_GERICHTE DAAJ/41/2021 du 18 novembre 2020</w:t>
      </w:r>
    </w:p>
    <w:p>
      <w:r>
        <w:t>IT: GE_GERICHTE DAAJ/41/2021 del 18 novembre 2020</w:t>
      </w:r>
    </w:p>
    <w:p>
      <w:pPr>
        <w:pStyle w:val="Heading2"/>
      </w:pPr>
      <w:r>
        <w:t>Erwägungen</w:t>
      </w:r>
    </w:p>
    <w:p>
      <w:r>
        <w:rPr>
          <w:b/>
        </w:rPr>
        <w:t>E. 18</w:t>
      </w:r>
    </w:p>
    <w:p>
      <w:r>
        <w:t>novembre 2020 par la Vice-présidente du Tribunal de première instance dans la cause AC/2224/2018.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