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DAAJ/41/2019 vom 21. Januar 2019</w:t>
      </w:r>
    </w:p>
    <w:p>
      <w:r>
        <w:t>GE Cour de justice, 2019-01-21, FR</w:t>
      </w:r>
    </w:p>
    <w:p>
      <w:r>
        <w:rPr>
          <w:b/>
        </w:rPr>
        <w:t xml:space="preserve">Quelle: </w:t>
      </w:r>
      <w:r>
        <w:t>https://mcp.opencaselaw.ch/entscheid/ge_gerichte_DAAJ_41_2019</w:t>
      </w:r>
    </w:p>
    <w:p>
      <w:r>
        <w:t>FR: GE_GERICHTE DAAJ/41/2019 du 21 janvier 2019</w:t>
      </w:r>
    </w:p>
    <w:p>
      <w:r>
        <w:t>IT: GE_GERICHTE DAAJ/41/2019 del 21 gennaio 2019</w:t>
      </w:r>
    </w:p>
    <w:p>
      <w:pPr>
        <w:pStyle w:val="Heading2"/>
      </w:pPr>
      <w:r>
        <w:t>Erwägungen</w:t>
      </w:r>
    </w:p>
    <w:p>
      <w:r>
        <w:rPr>
          <w:b/>
        </w:rPr>
        <w:t>E. 4</w:t>
      </w:r>
    </w:p>
    <w:p>
      <w:r>
        <w:t>Il résulte ce qui précède qu'une partie, qui disposerait des ressources financières nécessaires, se lancerait dans la remise en cause des points du dispositif du jugement entrepris relatifs à la contribution de prise en charge et d'une contribution à son entretien, compte tenu des enjeux financiers importants en cause.</w:t>
      </w:r>
    </w:p>
    <w:p>
      <w:r>
        <w:t>Le recours est partiellement fondé (cf. consid. 3.4.1 et 3.4.2 ci-dessus), de sorte que la décision entreprise sera annulée et la cause renvoyée à l'Autorité de première instance pour déterminer l'étendue du droit de la recourante à l'assistance juridique et nouvelle décision.</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- 10/10 -</w:t>
      </w:r>
    </w:p>
    <w:p>
      <w:r>
        <w:t>AC/956/2018</w:t>
      </w:r>
    </w:p>
    <w:p>
      <w:r>
        <w:t>PAR CES MOTIFS, LE VICE-PRÉSIDENT DE LA COUR : A la forme : Déclare recevable le recours formé par A______ contre la décision rendue le 21 janvier 2019 par le Vice-président du Tribunal civil dans la cause AC/956/2018. Au fond : Annule la décision querellée. Cela fait : Renvoie la cause à l'Autorité de première instance pour nouvelle décision dans le sens des considérants. Déboute A______ de toutes autres conclusions. Dit qu'il n'est pas perçu de frais judiciaires pour le recours, ni alloué de dépens. Notifie une copie de la présente décision à A______ en l'Étude de Me Sandy ZAECH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