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DAAJ/40/2015 vom 24. März 2015</w:t>
      </w:r>
    </w:p>
    <w:p>
      <w:r>
        <w:t>GE Cour de justice, 2015-03-24, FR</w:t>
      </w:r>
    </w:p>
    <w:p>
      <w:r>
        <w:rPr>
          <w:b/>
        </w:rPr>
        <w:t xml:space="preserve">Quelle: </w:t>
      </w:r>
      <w:r>
        <w:t>https://mcp.opencaselaw.ch/entscheid/ge_gerichte_DAAJ_40_2015</w:t>
      </w:r>
    </w:p>
    <w:p>
      <w:r>
        <w:t>FR: GE_GERICHTE DAAJ/40/2015 du 24 mars 2015</w:t>
      </w:r>
    </w:p>
    <w:p>
      <w:r>
        <w:t>IT: GE_GERICHTE DAAJ/40/2015 del 24 marzo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- 4/7 -</w:t>
      </w:r>
    </w:p>
    <w:p>
      <w:r>
        <w:t>AC/378/2015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Il faut, en outre, que l'assistance judiciaire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w:t>
      </w:r>
    </w:p>
    <w:p>
      <w:r>
        <w:t>- 5/7 -</w:t>
      </w:r>
    </w:p>
    <w:p>
      <w:r>
        <w:t>AC/378/2015 décision à prendre, avec une certaine réserve lorsque sont en cause principalement ses intérêts financiers (ATF 128 I 225 consid. 2.5.2; 123 I 145 consid. 2b/cc; 122 I 49 consid. 2c/bb; ATF 122 I 275 consid. 3a et les arrêts cités). 3.1.2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ATF 132 III 115 cons. 2.1. p. 116; 131 III 535 cons. 4.1. p. 537 s).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 131 III 535 consid. 4.2). L'énumération de l'art. 336 al. 1 CO n'est pas exhaustive et un abus du droit de résiliation peut se révéler aussi dans d'autres situations qui apparaissent comparables, par leur gravité, aux hypothèses expressément visées (ATF 136 III 513 ibidem; 132 III 115 consid. 2; 131 III 535 consid. 4). Il incombe en principe au travailleur d'apporter la preuve d'un motif abusif; le juge peut cependant présumer un abus lorsque le motif avancé par l'employeur semble mensonger et que celui-ci ne parvient pas à en apporter la confirmation (ATF 130 III 699 consid. 4.1 p. 702/703).</w:t>
      </w:r>
    </w:p>
    <w:p>
      <w:r>
        <w:rPr>
          <w:b/>
        </w:rPr>
        <w:t>E. 3.2</w:t>
      </w:r>
    </w:p>
    <w:p>
      <w:r>
        <w:t>En l'espèce, la recourante fait valoir que la résiliation de son contrat de travail est abusive car son licenciement résulterait de sa longue absence pour cause de maladie, longueur qu'elle impute au comportement de son ancien employeur. Or, l'employeur de la recourante n'a pas motivé le congé de celle-ci dans son courrier du 26 février 2015, ni ultérieurement, et la recourante ne lui a pas, à ce jour, demandé les motifs de cette résiliation. Les motifs de la résiliation que prête la recourante à son employeur ne sont donc que des déductions de sa part. Dès lors que l'on ignore les motifs qui ont poussé l'employeur de la recourante à la licencier, ce congé ne saurait, en l'état et prima facie, être considéré comme abusif. C'est donc à juste titre que le Vice-président du Tribunal civil a retenu que la recourante n'arriverait pas prima facie à démontrer que son licenciement est abusif. Cela étant, la recourante conserve la possibilité de déposer une nouvelle requête d'assistance juridique en se fondant sur des faits nouveaux, une fois les motifs de son licenciement connus. Par ailleurs, il résulte des courriers de l'employeur des 9 janvier et 26 février 2015 que la recourante était au bénéfice d'heures supplémentaires et de vacances non prises qui devaient faire l'objet d'un décompte final qui n'a, a priori, pas été établi. Dès lors, la recourante a rendu vraisemblable avoir des prétentions à faire valoir à l'encontre de son ancien employeur à cet égard. Toutefois, ces deux prétentions relevants de purs calculs</w:t>
      </w:r>
    </w:p>
    <w:p>
      <w:r>
        <w:t>- 6/7 -</w:t>
      </w:r>
    </w:p>
    <w:p>
      <w:r>
        <w:t>AC/378/2015 mathématiques, l'assistance d'un avocat n'est pas nécessaire à la recourante pour faire valoir ses droits sur ces points.</w:t>
      </w:r>
    </w:p>
    <w:p>
      <w:r>
        <w:rPr>
          <w:b/>
        </w:rPr>
        <w:t>E. 4</w:t>
      </w:r>
    </w:p>
    <w:p>
      <w:r>
        <w:t>Sauf exceptions non réalisées en l'espèce, il n'est pas perçu de frais judiciaires pour la procédure d'assistance juridique (art. 119 al. 6 CPC). * * * * *</w:t>
      </w:r>
    </w:p>
    <w:p>
      <w:r>
        <w:t>- 7/7 -</w:t>
      </w:r>
    </w:p>
    <w:p>
      <w:r>
        <w:t>AC/378/2015 PAR CES MOTIFS, LE VICE-PRÉSIDENT DE LA COUR : A la forme : Déclare recevable le recours formé le 9 avril 2015 par A______ contre la décision rendue le 24 mars 2015 par le Vice-président du Tribunal civil dans la cause AC/378/2015. Au fond : Le rejette. Déboute A______ de toutes autres conclusions. Dit qu'il n'est pas perçu de frais judiciaires pour le recours. Notifie une copie de la présente décision à A______ en l'étude de Me Christian BRUCHEZ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