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DAAJ/40/2014 vom 10. April 2014</w:t>
      </w:r>
    </w:p>
    <w:p>
      <w:r>
        <w:t>GE Cour de justice, 2014-04-10, FR</w:t>
      </w:r>
    </w:p>
    <w:p>
      <w:r>
        <w:rPr>
          <w:b/>
        </w:rPr>
        <w:t xml:space="preserve">Quelle: </w:t>
      </w:r>
      <w:r>
        <w:t>https://mcp.opencaselaw.ch/entscheid/ge_gerichte_DAAJ_40_2014</w:t>
      </w:r>
    </w:p>
    <w:p>
      <w:r>
        <w:t>FR: GE_GERICHTE DAAJ/40/2014 du 10 avril 2014</w:t>
      </w:r>
    </w:p>
    <w:p>
      <w:r>
        <w:t>IT: GE_GERICHTE DAAJ/40/2014 del 10 aprile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AC/982/2014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(ATF 135 I 221 consid. 5.1).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w:t>
      </w:r>
    </w:p>
    <w:p>
      <w:r>
        <w:t>- 5/7 -</w:t>
      </w:r>
    </w:p>
    <w:p>
      <w:r>
        <w:t>AC/982/2014 assurance-vie (DAAJ/14/2013 ; DONZALLAZ, Loi sur le Tribunal fédéral : commentaire, Berne 2008, n. 1815 ad art. 64 LTF).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(ATF 138 III 672 consid. 4.2.1).</w:t>
      </w:r>
    </w:p>
    <w:p>
      <w:r>
        <w:rPr>
          <w:b/>
        </w:rPr>
        <w:t>E. 2.2</w:t>
      </w:r>
    </w:p>
    <w:p>
      <w:r>
        <w:t>En l'espèce, parmi toutes les charges alléguées par la recourante, le premier juge a uniquement pris en compte les primes d'assurance-maladie, les abonnements de bus et l'entretien de base OP de l'ensemble du ménage, majoré de 20%. Ceci est conforme aux principes rappelés ci-dessus, étant relevé que la recourante n'a allégué aucune charge d'impôts dans la liste détaillée de ses charges et qu'elle n'a produit aucune preuve de paiement desdits impôts (arriérés ou pour l'année en cours). Il est en outre précisé que les frais tels que le téléphone, l'électricité et les vêtements sont compris dans l'entretien de base OP. S'il est vrai que le disponible mensuel de la recourante d'environ 4'000 fr. ne lui permet pas de s'acquitter en une fois des frais d'introduction de sa demande en divorce, il n'en demeure pas moins que sa requête de provisio ad litem suspend automatiquement le délai pour payer lesdits frais. Par ailleurs, même dans l'hypothèse où sa demande de provisio ad litem devrait être rejetée par le Tribunal, la situation financière de la recourante n'est pas compatible avec la notion d'indigence, au vu de l'importante fortune mobilière et immobilière des époux. L'ensemble des ressources de la recourante doit être prise en compte, de sorte qu'il n'y a pas lieu de distinguer entre les montants perçus à titre d'arriérés d'allocations familiales et ceux perçus de l'administration fiscale. La fortune mobilière de 77'500 fr. environ permet largement de couvrir l'avance de frais requise, tout en laissant une réserve de secours de plus de 50'000 fr. à la recourante et ses enfants, ce qui apparaît suffisant au vu de leur disponible mensuel de 4'000 fr. Par ailleurs, la recourante, sans emploi, n'ayant pas démontré la nécessité de disposer de deux véhicules, il peut également être exigé d'elle qu'elle se dessaisisse de l'un de ceux-ci au moins. Pour le surplus, la recourante ne démontre pas avoir tenté sans succès de constituer une hypothèque complémentaire sur l'un de ses biens immobiliers.</w:t>
      </w:r>
    </w:p>
    <w:p>
      <w:r>
        <w:t>- 6/7 -</w:t>
      </w:r>
    </w:p>
    <w:p>
      <w:r>
        <w:t>AC/982/2014 Compte tenu de ce qui précède, le premier juge a, à juste titre, refusé d'octroyer l'assistance juridique à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 * * * * *</w:t>
      </w:r>
    </w:p>
    <w:p>
      <w:r>
        <w:t>- 7/7 -</w:t>
      </w:r>
    </w:p>
    <w:p>
      <w:r>
        <w:t>AC/982/2014 PAR CES MOTIFS, LA VICE-PRÉSIDENTE DE LA COUR : À la forme : Déclare recevable le recours formé par A______ contre la décision rendue le 10 avril 2014 par le Vice-président du Tribunal civil dans la cause AC/982/2014. Au fond : Le rejette. Déboute A______ de toutes autres conclusions. Dit qu'il n'est pas perçu de frais judiciaires pour le recours. Notifie une copie de la présente décision à A______ en l'Étude de Me Nicolas JEANDIN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