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DAAJ/3/2020 vom 4. Mai 2017</w:t>
      </w:r>
    </w:p>
    <w:p>
      <w:r>
        <w:t>GE Cour de justice, 2017-05-04, FR</w:t>
      </w:r>
    </w:p>
    <w:p>
      <w:r>
        <w:rPr>
          <w:b/>
        </w:rPr>
        <w:t xml:space="preserve">Quelle: </w:t>
      </w:r>
      <w:r>
        <w:t>https://mcp.opencaselaw.ch/entscheid/ge_gerichte_DAAJ_3_2020</w:t>
      </w:r>
    </w:p>
    <w:p>
      <w:r>
        <w:t>FR: GE_GERICHTE DAAJ/3/2020 du 4 mai 2017</w:t>
      </w:r>
    </w:p>
    <w:p>
      <w:r>
        <w:t>IT: GE_GERICHTE DAAJ/3/2020 del 4 maggio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w:t>
      </w:r>
    </w:p>
    <w:p>
      <w:r>
        <w:t>La requête d'assistance judiciaire peut être présentée avant ou pendant la litispendance (art. 119 al. 1 CPC).</w:t>
      </w:r>
    </w:p>
    <w:p>
      <w:r>
        <w:rPr>
          <w:b/>
        </w:rPr>
        <w:t>E. 2.2</w:t>
      </w:r>
    </w:p>
    <w:p>
      <w:r>
        <w:t>En l'espèce, à la suite du prononcé de l'ordonnance DTAE/6218/2019 du 27 juin 2019, laquelle a été déférée par la recourante devant la Chambre de surveillance de la Cour de justice et procédure pour laquelle elle n'a pas obtenu l'assistance juridique (cf. supra let. J), le TPAE n'a agendé aucun avancement de cette procédure C/1______/2017 avant le 4 mai 2021, date à laquelle le SPMi devra rendre un rapport périodique complet. Dans ces conditions, c'est avec raison que le Vice-président du Tribunal civil a rejeté le</w:t>
      </w:r>
    </w:p>
    <w:p>
      <w:r>
        <w:rPr>
          <w:b/>
        </w:rPr>
        <w:t>E. 3</w:t>
      </w:r>
    </w:p>
    <w:p>
      <w:r>
        <w:t>décembre 2019 par le Vice-président du Tribunal civil dans la cause AC/3268/2019. Préalablement : Ordonne l'apport de la procédure C/1______/2017.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