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DAAJ/39/2022 vom 22. Dezember 2021</w:t>
      </w:r>
    </w:p>
    <w:p>
      <w:r>
        <w:t>GE Cour de justice, 2021-12-22, FR</w:t>
      </w:r>
    </w:p>
    <w:p>
      <w:r>
        <w:rPr>
          <w:b/>
        </w:rPr>
        <w:t xml:space="preserve">Quelle: </w:t>
      </w:r>
      <w:r>
        <w:t>https://mcp.opencaselaw.ch/entscheid/ge_gerichte_DAAJ_39_2022</w:t>
      </w:r>
    </w:p>
    <w:p>
      <w:r>
        <w:t>FR: GE_GERICHTE DAAJ/39/2022 du 22 décembre 2021</w:t>
      </w:r>
    </w:p>
    <w:p>
      <w:r>
        <w:t>IT: GE_GERICHTE DAAJ/39/2022 del 22 dicembre 2021</w:t>
      </w:r>
    </w:p>
    <w:p>
      <w:pPr>
        <w:pStyle w:val="Heading2"/>
      </w:pPr>
      <w:r>
        <w:t>Erwägungen</w:t>
      </w:r>
    </w:p>
    <w:p>
      <w:r>
        <w:rPr>
          <w:b/>
        </w:rPr>
        <w:t>E. 31</w:t>
      </w:r>
    </w:p>
    <w:p>
      <w:r>
        <w:t>juillet 2015 (ch. 1), arrêté les frais judiciaires à 2'720 fr., mis ceux-ci à la charge des demandeurs (locataires) à raison de 80% et à la charge de la défenderesse (sous- occupante) à raison de 20%, sous réserve des décisions de l'assistance juridique (ch. 2), dit qu'il n'était pas alloué de dépens (ch. 3) et débouté les parties de toutes autres conclusions (ch. 4). Le Tribunal a relevé que la sous-occupante avait allégué avoir payé différents montants au titre du loyer et n'avait produit aucun relevé bancaire à titre de paiement. L'instruction de la cause avait toutefois révélé que le locataire avait envisagé la sous- location de son studio et la sous-occupante avait produit l'attestation, qui n'était pas un faux selon le Ministère public. Le premier juge en a déduit que les parties étaient liées par un contrat de bail à loyer et a condamné la sous-occupante à payer les sous-loyers des mois de juin et juillet 2015, lesquels n'étaient pas prescrits (art. 128 CO). En revanche, les indemnités d'août à novembre, voire décembre 2015 et les autres frais réclamés à la sous-locataire (art. 41 ou 62 CO) étaient prescrits (art. 60 ou 67 CO), les locataires ayant eu connaissance de leurs prétentions le 4 [recte : 25] février 2016, date de la transaction devant la Commission des baux et loyers.</w:t>
      </w:r>
    </w:p>
    <w:p>
      <w:r>
        <w:t>- 4/9 -</w:t>
      </w:r>
    </w:p>
    <w:p>
      <w:r>
        <w:t>AC/1545/2020 C. a. Le 8 décembre 2021, le recourant et sa mère ont sollicité l'assistance judiciaire pour former appel du jugement du 23 novembre 2021. Ils se sont prévalus du délai quinquennal de prescription et, subsidiairement, du délai annal, lequel avait été à leur sens valablement interrompu par le dépôt le 12 septembre 2017 de la requête d'assistance judiciaire. b. Par décision du 22 décembre 2021, notifiée le 5 janvier 2022, la vice-présidente du Tribunal de première instance a rejeté la requête d'assistance juridique précitée, au motif que les chances de succès d'un appel apparaissaient très faibles. La vice-présidente a considéré que l'indemnité pour occupation illicite, fondée soit sur l'enrichissement illégitime, soit sur la responsabilité pour acte illicite, était prescrite (prescription annale des art. 67 et 60 CO), qu'il en allait de même pour les autres prétentions des locataires, et que le dépôt le 12 septembre 2017 d'une requête d'assistance judiciaire n'avait pas interrompu la prescription. D. a. Recours est formé contre cette décision, par acte expédié le 7 janvier 2022 à la Présidence de la Cour de justice. Le recourant conclut à l'annulation de la décision du 22 décembre 2021 et à l'octroi de l'assistance judiciaire pour la procédure de recours contre le jugement du 23 novembre 2021, et, subsidiairement, au renvoi de la cause au Tribunal pour nouvelle décision dans le sens des considérants. Le recourant persiste à soutenir la conclusion d'un contrat de prêt entre les locataires et la sous-occupante, le Tribunal n'ayant pas été en mesure de déterminer le montant du loyer en raison des affirmations contradictoires de la sous-occupante et celle-ci n'ayant pas prouvé avoir versé de loyer. Le recourant persiste également à soutenir que l'attestation produite par la sous- occupante est un faux et qu'il lui incombait de prouver son authenticité, notamment en produisant l'original ou en sollicitant une expertise. Selon le recourant, le délai de prescription est de cinq ans en cas d'occupation illicite fondée sur une relation contractuelle de fait lorsque le bailleur a été privé de la chose louée contre sa volonté, rappelant que tel était le cas puisque sa mère avait fait changer les serrures du studio. Même si le délai annal devait entrer en considération, celui-ci avait été interrompu par le dépôt le 12 septembre 2017 de la requête d'assistance judiciaire. b. La vice-présidente du Tribunal de première instance a renoncé à formuler des observations.</w:t>
      </w:r>
    </w:p>
    <w:p>
      <w:r>
        <w:t>- 5/9 -</w:t>
      </w:r>
    </w:p>
    <w:p>
      <w:r>
        <w:t>AC/1545/2020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- 6/9 -</w:t>
      </w:r>
    </w:p>
    <w:p>
      <w:r>
        <w:t>AC/1545/2020 3. 3.1 Le bail à loyer est un contrat par lequel le bailleur s'oblige à céder l'usage d'une chose au locataire, moyennant un loyer (art. 253 CO). A la fin du bail, le locataire doit restituer la chose dans l'état qui résulte d'un usage conforme au contrat (art. 267 al. 1 CO). Le prêt à usage est un contrat par lequel le prêteur s'oblige à céder gratuitement l'usage d'une chose que l'emprunteur s'engage à lui rendre après s'en être servi (art. 305 CO). L'emprunteur supporte les frais ordinaires d'entretien (art. 307 al. 1 1ère phr. CO). 3.2 En matière contractuelle, la prescription est de cinq ans lorsque la prétention concerne des loyers (cf. art. 128 CO). En matière délictuelle, le délai de prescription est de trois ans (délai relatif). Il en va de même en matière d'enrichissement illégitime, depuis le 1er janvier 2020, étant rappelé qu'avant cette date le délai était annal. Selon l'art. 135 ch. 2 CO, la prescription est interrompue – lorsque le débiteur ne reconnaît pas la dette - lorsque le créancier fait valoir ses droits par des poursuites, par une requête de conciliation, par une action ou une exception devant un tribunal ou un tribunal arbitral ou par une intervention dans une faillite. Pour produire l'effet interruptif de prescription, l'acte introductif doit émaner du créancier et être dirigé contre le débiteur, en d'autres termes il doit être introduit par celui qui a la qualité pour agir contre celui qui a la qualité pour défendre (ATF 142 III 782 consid. 3.1.3.2; arrêt du Tribunal fédéral 4A_282/2021 du 29 novembre 2021 consid. 4.3). Une demande d'assistance judiciaire n'est pas un acte introductif d'action et n'interrompt pas la prescription. A la différence de la citation en conciliation, la demande d'assistance judiciaire gratuite n'a pas trait au fond de la cause; la procédure s'engage entre la partie instante et l'Etat et elle ne concerne qu'indirectement la substance même de la cause pour laquelle l'assistance et requise. On ne peut donc considérer la procédure exceptionnelle d'assistance judiciaire gratuite comme une phase préparatoire du procès (ATF 46 II 90; JdT 1920 I 365 consid. 2). 3.3 Le locataire qui reste dans les locaux loués après la fin du bail contrevient à son obligation contractuelle de restitution. Sur la base d'un rapport de fait assimilable au bail, le bailleur peut alors prétendre à une indemnité pour occupation des locaux équivalant en principe au loyer convenu (arrêt du Tribunal fédéral 4A_276/2018 du 22 juillet 2019 consid. 3.1 et les références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(arrêt du Tribunal fédéral 4A_276/2018 du 22 juillet 2019 consid. 3.1 et les références citées).</w:t>
      </w:r>
    </w:p>
    <w:p>
      <w:r>
        <w:t>- 7/9 -</w:t>
      </w:r>
    </w:p>
    <w:p>
      <w:r>
        <w:t>AC/1545/2020 Le délai de prescription applicable ne sera pas le même : le délai sera de cinq ans pour le paiement de la redevance périodique fondée sur la relation contractuelle de fait (art. 128 ch. 1 CO), alors que le double délai de prescription de l'art. 67 CO – délai relatif d'un an (trois ans à partir du 1er janvier 2020) et délai absolu de dix ans – sera applicable à la créance en restitution de l'enrichissement illégitime (CARRON, L'indemnité pour occupation illicite : rapport contractuel de fait comme fondement, principes de fixation et application de l'art. 42 al. 2 CO (arrêt 4A_276/2018), Newsletter Bail.ch octobre 2019). Le code des obligations ne contient aucune règle particulière sur la liquidation du prêt à usage (art. 305 ss CO). La jurisprudence a précisé que ce sont les règles du bail qu'il y a lieu d'appliquer par analogie, singulièrement si l'emprunteur, après s'être servi de la chose prêtée, viole son obligation de la restituer. Le fondement de la créance contre l'occupant est un rapport contractuel de fait, assimilable au bail (arrêt du Tribunal fédéral 4A_66/2021 du 22 juillet 2021 consid. 5.2). Lorsque les parties n'ont jamais eu d'accord quant au montant du loyer puisque l'usage de l'appartement était concédé à titre gratuit, construire sur ce fondement un bail de fait n'est guère évident et il ne peut raisonnablement être question de libérer le propriétaire de son obligation de prouver le dommage (arrêt du Tribunal fédéral 4A_66/2021 du 22 juillet 2021 consid. 5.2). La base légale de la responsabilité peut aussi se fonder sur l'art. 97 CO, lequel suppose une violation du contrat, un dommage, un lien de causalité naturelle et adéquate entre les deux et une faute présumée (arrêt du Tribunal fédéral 4A_66/2021 du 22 juillet 2021 consid. 5.2). 3.4 En l'espèce, que le rapport contractuel entre les locataires et la sous-occupante relève du contrat de bail ou du contrat de prêt à usage, il résulte de la jurisprudence sus- évoquée (arrêt du Tribunal fédéral 4A_66/2021 du 22 juillet 2021 consid. 5.2) que ce sont les règles sur le rapport contractuel de fait, assimilable au bail, qui sont applicables et non pas celles sur l'enrichissement illégitime, ce d'autant plus que la sous-occupante est vraisemblablement demeurée dans le studio contre la volonté des locataires (sous- bailleurs). Il en résulte que c'est a priori la prescription quinquennale de l'art. 128 ch. 1 CO qui est applicable aux prétentions des locataires, de sorte qu'elles ne seraient pas prescrites. Ainsi, la poursuite no 1______, du 23 mars 2016, a valablement interrompu la prescription desdites prétentions, de sorte que le délai pour introduire action a été reporté jusqu'en mars 2021, ce qui signifie que l'action en paiement du 7 décembre 2017 a été formée en temps utile. L'argumentation selon laquelle le premier juge serait parti de la prémisse erronée que les prétentions des locataires étaient prescrites en applications des art. 60 ou 67 CO n'apparaît ainsi pas dénuée de chances de succès, quand bien même le dépôt le 12 septembre 2017 de la requête d'assistance judiciaire n'a pas interrompu le délai de prescription. La vice-présidente du Tribunal est ainsi partie de la prémisse erronée que les prétentions des locataires étaient prescrites en applications des art. 60 ou 67 CO. Il sera, pour le</w:t>
      </w:r>
    </w:p>
    <w:p>
      <w:r>
        <w:t>- 8/9 -</w:t>
      </w:r>
    </w:p>
    <w:p>
      <w:r>
        <w:t>AC/1545/2020 surplus, précisé que le dépôt le 12 septembre 2017 de la requête d'assistance judiciaire n'a pas interrompu le délai de prescription. Le recours est fondé, de sorte que la décision du 22 décembre 2021 de la vice-présidente du Tribunal sera annulée et la cause retournée en première instance pour nouvelle décision dans le sens des considérants. Il appartiendra à l'Autorité de première instance d'examiner, d'une part, si l'engagement de frais par l'Etat, soit les frais judiciaires et la rémunération de l'avocat, apparaissent proportionnés par rapport à la valeur litigieuse en jeu pour le recourant, et, d'autre part, d'évaluer les perspectives de recouvrement de ladite valeur litigieuse en sollicitant la production, par le recourant, d'un extrait du registre des poursuites de sa partie adverse. 4. 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- 9/9 -</w:t>
      </w:r>
    </w:p>
    <w:p>
      <w:r>
        <w:t>AC/1545/2020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